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3468A" w14:textId="1F13448B" w:rsidR="00D4284F" w:rsidRDefault="00D9339E" w:rsidP="008010AF">
      <w:pPr>
        <w:spacing w:before="240"/>
        <w:ind w:right="-1"/>
        <w:jc w:val="center"/>
        <w:rPr>
          <w:noProof/>
          <w:lang w:val="el-GR" w:eastAsia="el-GR"/>
        </w:rPr>
      </w:pPr>
      <w:r>
        <w:rPr>
          <w:rFonts w:ascii="Aptos Narrow" w:hAnsi="Aptos Narrow"/>
          <w:noProof/>
          <w:sz w:val="52"/>
          <w:szCs w:val="52"/>
          <w:lang w:val="el-GR"/>
        </w:rPr>
        <w:drawing>
          <wp:anchor distT="0" distB="0" distL="114300" distR="114300" simplePos="0" relativeHeight="251666432" behindDoc="0" locked="0" layoutInCell="1" allowOverlap="1" wp14:anchorId="41395945" wp14:editId="4277830C">
            <wp:simplePos x="0" y="0"/>
            <wp:positionH relativeFrom="column">
              <wp:posOffset>-1208405</wp:posOffset>
            </wp:positionH>
            <wp:positionV relativeFrom="paragraph">
              <wp:posOffset>-1270000</wp:posOffset>
            </wp:positionV>
            <wp:extent cx="7600950" cy="5952067"/>
            <wp:effectExtent l="0" t="0" r="0" b="0"/>
            <wp:wrapNone/>
            <wp:docPr id="8371754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75424"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a:extLst>
                        <a:ext uri="{28A0092B-C50C-407E-A947-70E740481C1C}">
                          <a14:useLocalDpi xmlns:a14="http://schemas.microsoft.com/office/drawing/2010/main" val="0"/>
                        </a:ext>
                      </a:extLst>
                    </a:blip>
                    <a:srcRect b="44569"/>
                    <a:stretch>
                      <a:fillRect/>
                    </a:stretch>
                  </pic:blipFill>
                  <pic:spPr bwMode="auto">
                    <a:xfrm>
                      <a:off x="0" y="0"/>
                      <a:ext cx="7600950" cy="59520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2DBC3A" w14:textId="58EABD36" w:rsidR="00EF5E3E" w:rsidRDefault="00EF5E3E" w:rsidP="008010AF">
      <w:pPr>
        <w:spacing w:before="240"/>
        <w:ind w:right="-1"/>
        <w:jc w:val="center"/>
        <w:rPr>
          <w:noProof/>
          <w:lang w:val="el-GR" w:eastAsia="el-GR"/>
        </w:rPr>
      </w:pPr>
    </w:p>
    <w:p w14:paraId="46E13414" w14:textId="12EEA49C" w:rsidR="007D51AE" w:rsidRDefault="00EF5E3E" w:rsidP="008010AF">
      <w:pPr>
        <w:spacing w:before="240"/>
        <w:ind w:right="-1"/>
        <w:jc w:val="center"/>
        <w:rPr>
          <w:noProof/>
          <w:lang w:val="el-GR" w:eastAsia="el-GR"/>
        </w:rPr>
      </w:pPr>
      <w:r>
        <w:rPr>
          <w:noProof/>
          <w:lang w:val="el-GR" w:eastAsia="el-GR"/>
        </w:rPr>
        <w:t>ΠΑΡΑΤΗΡΗΤΗΡΙΟ ΘΕΜΑΤΩΝ ΑΝΑΠΗΡΙΑΣ</w:t>
      </w:r>
    </w:p>
    <w:p w14:paraId="2D7FC1EF" w14:textId="0E7E84B2" w:rsidR="00EF5E3E" w:rsidRDefault="00EF5E3E" w:rsidP="008010AF">
      <w:pPr>
        <w:spacing w:before="240"/>
        <w:ind w:right="-1"/>
        <w:jc w:val="center"/>
        <w:rPr>
          <w:noProof/>
          <w:lang w:val="el-GR" w:eastAsia="el-GR"/>
        </w:rPr>
      </w:pPr>
      <w:r>
        <w:rPr>
          <w:noProof/>
          <w:lang w:val="el-GR" w:eastAsia="el-GR"/>
        </w:rPr>
        <w:t>Ε.Σ.Α.μεΑ.</w:t>
      </w:r>
    </w:p>
    <w:p w14:paraId="57E6C8A3" w14:textId="77777777" w:rsidR="00093E9D" w:rsidRDefault="00093E9D" w:rsidP="007F7EFE">
      <w:pPr>
        <w:spacing w:after="0" w:line="240" w:lineRule="auto"/>
        <w:jc w:val="center"/>
        <w:rPr>
          <w:b/>
          <w:bCs/>
          <w:sz w:val="30"/>
          <w:szCs w:val="30"/>
          <w:lang w:val="el-GR"/>
        </w:rPr>
      </w:pPr>
    </w:p>
    <w:p w14:paraId="2014B502" w14:textId="5607A8C5" w:rsidR="00EF5E3E" w:rsidRDefault="00EF5E3E" w:rsidP="007F7EFE">
      <w:pPr>
        <w:spacing w:after="0" w:line="240" w:lineRule="auto"/>
        <w:jc w:val="center"/>
        <w:rPr>
          <w:b/>
          <w:bCs/>
          <w:sz w:val="30"/>
          <w:szCs w:val="30"/>
          <w:lang w:val="el-GR"/>
        </w:rPr>
      </w:pPr>
      <w:r>
        <w:rPr>
          <w:b/>
          <w:bCs/>
          <w:sz w:val="30"/>
          <w:szCs w:val="30"/>
          <w:lang w:val="el-GR"/>
        </w:rPr>
        <w:t>ΔΕΛΤΙΟ ΣΤΑΤΙΣΤΙΚΗΣ ΠΛΗΡΟΦΟΡΗΣΗΣ</w:t>
      </w:r>
    </w:p>
    <w:p w14:paraId="4ECB30C5" w14:textId="6EABB181" w:rsidR="00EF5E3E" w:rsidRDefault="00EF5E3E" w:rsidP="007F7EFE">
      <w:pPr>
        <w:spacing w:after="0" w:line="240" w:lineRule="auto"/>
        <w:jc w:val="center"/>
        <w:rPr>
          <w:b/>
          <w:bCs/>
          <w:sz w:val="30"/>
          <w:szCs w:val="30"/>
          <w:lang w:val="el-GR"/>
        </w:rPr>
      </w:pPr>
      <w:r>
        <w:rPr>
          <w:b/>
          <w:bCs/>
          <w:sz w:val="30"/>
          <w:szCs w:val="30"/>
          <w:lang w:val="el-GR"/>
        </w:rPr>
        <w:t>202</w:t>
      </w:r>
      <w:r w:rsidR="00D9339E">
        <w:rPr>
          <w:b/>
          <w:bCs/>
          <w:sz w:val="30"/>
          <w:szCs w:val="30"/>
          <w:lang w:val="el-GR"/>
        </w:rPr>
        <w:t>6</w:t>
      </w:r>
      <w:r>
        <w:rPr>
          <w:b/>
          <w:bCs/>
          <w:sz w:val="30"/>
          <w:szCs w:val="30"/>
          <w:lang w:val="el-GR"/>
        </w:rPr>
        <w:t xml:space="preserve">, Τεύχος </w:t>
      </w:r>
      <w:r w:rsidR="00D9339E">
        <w:rPr>
          <w:b/>
          <w:bCs/>
          <w:sz w:val="30"/>
          <w:szCs w:val="30"/>
          <w:lang w:val="el-GR"/>
        </w:rPr>
        <w:t>1</w:t>
      </w:r>
      <w:r w:rsidRPr="00EF5E3E">
        <w:rPr>
          <w:b/>
          <w:bCs/>
          <w:sz w:val="30"/>
          <w:szCs w:val="30"/>
          <w:vertAlign w:val="superscript"/>
          <w:lang w:val="el-GR"/>
        </w:rPr>
        <w:t>ο</w:t>
      </w:r>
    </w:p>
    <w:p w14:paraId="4FBD1C0D" w14:textId="3732487A" w:rsidR="00D4284F" w:rsidRPr="0013775B" w:rsidRDefault="0013775B" w:rsidP="00A8753C">
      <w:pPr>
        <w:spacing w:before="4800" w:line="240" w:lineRule="auto"/>
        <w:jc w:val="center"/>
        <w:rPr>
          <w:rFonts w:ascii="Aptos Narrow" w:hAnsi="Aptos Narrow"/>
          <w:sz w:val="52"/>
          <w:szCs w:val="52"/>
          <w:lang w:val="el-GR"/>
        </w:rPr>
      </w:pPr>
      <w:r>
        <w:rPr>
          <w:rFonts w:ascii="Aptos Narrow" w:hAnsi="Aptos Narrow"/>
          <w:sz w:val="52"/>
          <w:szCs w:val="52"/>
          <w:lang w:val="el-GR"/>
        </w:rPr>
        <w:t>Στεγαστική φτώχεια και αναπηρία</w:t>
      </w:r>
    </w:p>
    <w:p w14:paraId="4B097860" w14:textId="1ACC196B" w:rsidR="00D4284F" w:rsidRPr="00FD609B" w:rsidRDefault="00D4284F" w:rsidP="001B7216">
      <w:pPr>
        <w:spacing w:before="240"/>
        <w:jc w:val="center"/>
        <w:rPr>
          <w:rFonts w:ascii="Aptos Light" w:hAnsi="Aptos Light"/>
          <w:color w:val="595959" w:themeColor="text1" w:themeTint="A6"/>
          <w:sz w:val="32"/>
          <w:szCs w:val="32"/>
          <w:lang w:val="el-GR"/>
        </w:rPr>
      </w:pPr>
      <w:r w:rsidRPr="00FD609B">
        <w:rPr>
          <w:rFonts w:ascii="Aptos Light" w:hAnsi="Aptos Light"/>
          <w:color w:val="595959" w:themeColor="text1" w:themeTint="A6"/>
          <w:sz w:val="32"/>
          <w:szCs w:val="32"/>
          <w:lang w:val="el-GR"/>
        </w:rPr>
        <w:t xml:space="preserve">Αθήνα: </w:t>
      </w:r>
      <w:r w:rsidR="00E7208C">
        <w:rPr>
          <w:rFonts w:ascii="Aptos Light" w:hAnsi="Aptos Light"/>
          <w:color w:val="595959" w:themeColor="text1" w:themeTint="A6"/>
          <w:sz w:val="32"/>
          <w:szCs w:val="32"/>
        </w:rPr>
        <w:t>23</w:t>
      </w:r>
      <w:r w:rsidRPr="00FD609B">
        <w:rPr>
          <w:rFonts w:ascii="Aptos Light" w:hAnsi="Aptos Light"/>
          <w:color w:val="595959" w:themeColor="text1" w:themeTint="A6"/>
          <w:sz w:val="32"/>
          <w:szCs w:val="32"/>
          <w:lang w:val="el-GR"/>
        </w:rPr>
        <w:t>.</w:t>
      </w:r>
      <w:r w:rsidR="0013775B" w:rsidRPr="00FD609B">
        <w:rPr>
          <w:rFonts w:ascii="Aptos Light" w:hAnsi="Aptos Light"/>
          <w:color w:val="595959" w:themeColor="text1" w:themeTint="A6"/>
          <w:sz w:val="32"/>
          <w:szCs w:val="32"/>
          <w:lang w:val="el-GR"/>
        </w:rPr>
        <w:t>0</w:t>
      </w:r>
      <w:r w:rsidR="00E848CE">
        <w:rPr>
          <w:rFonts w:ascii="Aptos Light" w:hAnsi="Aptos Light"/>
          <w:color w:val="595959" w:themeColor="text1" w:themeTint="A6"/>
          <w:sz w:val="32"/>
          <w:szCs w:val="32"/>
        </w:rPr>
        <w:t>9</w:t>
      </w:r>
      <w:r w:rsidRPr="00FD609B">
        <w:rPr>
          <w:rFonts w:ascii="Aptos Light" w:hAnsi="Aptos Light"/>
          <w:color w:val="595959" w:themeColor="text1" w:themeTint="A6"/>
          <w:sz w:val="32"/>
          <w:szCs w:val="32"/>
          <w:lang w:val="el-GR"/>
        </w:rPr>
        <w:t>.202</w:t>
      </w:r>
      <w:r w:rsidR="0013775B" w:rsidRPr="00FD609B">
        <w:rPr>
          <w:rFonts w:ascii="Aptos Light" w:hAnsi="Aptos Light"/>
          <w:color w:val="595959" w:themeColor="text1" w:themeTint="A6"/>
          <w:sz w:val="32"/>
          <w:szCs w:val="32"/>
          <w:lang w:val="el-GR"/>
        </w:rPr>
        <w:t>6</w:t>
      </w:r>
    </w:p>
    <w:p w14:paraId="3856ED8B" w14:textId="373F01F1" w:rsidR="00D4284F" w:rsidRPr="00D4284F" w:rsidRDefault="00D4284F" w:rsidP="00F773D3">
      <w:pPr>
        <w:spacing w:before="2640" w:after="0" w:line="240" w:lineRule="auto"/>
        <w:jc w:val="center"/>
        <w:rPr>
          <w:rFonts w:ascii="Aptos Light" w:hAnsi="Aptos Light"/>
          <w:sz w:val="32"/>
          <w:szCs w:val="32"/>
          <w:lang w:val="el-GR"/>
        </w:rPr>
      </w:pPr>
      <w:r>
        <w:rPr>
          <w:rFonts w:ascii="Aptos Light" w:hAnsi="Aptos Light"/>
          <w:noProof/>
          <w:color w:val="808080" w:themeColor="background1" w:themeShade="80"/>
          <w:sz w:val="32"/>
          <w:szCs w:val="32"/>
          <w:lang w:val="el-GR"/>
        </w:rPr>
        <w:drawing>
          <wp:inline distT="0" distB="0" distL="0" distR="0" wp14:anchorId="1F91BC34" wp14:editId="4597F85E">
            <wp:extent cx="5143500" cy="495300"/>
            <wp:effectExtent l="0" t="0" r="0" b="0"/>
            <wp:docPr id="380633752" name="Picture 4" descr="Λογότυπο Προγράμματος:&#10;Πρόγραμμα &quot;Ανθρώπινο Δυναμικό και Κοινωνική Συνοχή&quot;.&#10;Με τη συγχρηματοδότηση της Ευρωπαϊκής Ένωσης.&#10;ΕΣΠΑ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33752" name="Picture 4" descr="Λογότυπο Προγράμματος:&#10;Πρόγραμμα &quot;Ανθρώπινο Δυναμικό και Κοινωνική Συνοχή&quot;.&#10;Με τη συγχρηματοδότηση της Ευρωπαϊκής Ένωσης.&#10;ΕΣΠΑ 2021-202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818"/>
                    <a:stretch>
                      <a:fillRect/>
                    </a:stretch>
                  </pic:blipFill>
                  <pic:spPr bwMode="auto">
                    <a:xfrm>
                      <a:off x="0" y="0"/>
                      <a:ext cx="5143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1359349A" w14:textId="77777777" w:rsidR="00D4284F" w:rsidRDefault="00D4284F">
      <w:pPr>
        <w:spacing w:after="0" w:line="240" w:lineRule="auto"/>
        <w:rPr>
          <w:b/>
          <w:bCs/>
          <w:sz w:val="30"/>
          <w:szCs w:val="30"/>
          <w:lang w:val="el-GR"/>
        </w:rPr>
      </w:pPr>
      <w:r>
        <w:rPr>
          <w:b/>
          <w:bCs/>
          <w:sz w:val="30"/>
          <w:szCs w:val="30"/>
          <w:lang w:val="el-GR"/>
        </w:rPr>
        <w:br w:type="page"/>
      </w:r>
    </w:p>
    <w:p w14:paraId="0A8A9C52" w14:textId="77B215C1" w:rsidR="00EF5E3E" w:rsidRPr="001B7216" w:rsidRDefault="00EF5E3E" w:rsidP="0023028E">
      <w:pPr>
        <w:spacing w:after="120" w:line="240" w:lineRule="auto"/>
        <w:rPr>
          <w:rFonts w:cstheme="minorHAnsi"/>
          <w:b/>
          <w:bCs/>
          <w:sz w:val="28"/>
          <w:szCs w:val="28"/>
          <w:u w:val="single"/>
          <w:lang w:val="el-GR"/>
        </w:rPr>
      </w:pPr>
      <w:r w:rsidRPr="001B7216">
        <w:rPr>
          <w:rFonts w:cstheme="minorHAnsi"/>
          <w:b/>
          <w:bCs/>
          <w:sz w:val="28"/>
          <w:szCs w:val="28"/>
          <w:u w:val="single"/>
          <w:lang w:val="el-GR"/>
        </w:rPr>
        <w:lastRenderedPageBreak/>
        <w:t>ΕΚΔΟΣΗ</w:t>
      </w:r>
    </w:p>
    <w:p w14:paraId="43B3B0B5" w14:textId="77777777" w:rsidR="00EF5E3E" w:rsidRPr="0023028E" w:rsidRDefault="00EF5E3E" w:rsidP="00EF5E3E">
      <w:pPr>
        <w:spacing w:after="0" w:line="240" w:lineRule="auto"/>
        <w:rPr>
          <w:rFonts w:cstheme="minorHAnsi"/>
          <w:b/>
          <w:bCs/>
          <w:sz w:val="24"/>
          <w:szCs w:val="24"/>
          <w:lang w:val="el-GR"/>
        </w:rPr>
      </w:pPr>
      <w:r w:rsidRPr="0013775B">
        <w:rPr>
          <w:rFonts w:cstheme="minorHAnsi"/>
          <w:b/>
          <w:bCs/>
          <w:sz w:val="24"/>
          <w:szCs w:val="24"/>
          <w:lang w:val="el-GR"/>
        </w:rPr>
        <w:t>Εθνική Συνομοσπονδία Ατόμων με Αναπηρία (Ε.Σ.Α.μεΑ.)</w:t>
      </w:r>
    </w:p>
    <w:p w14:paraId="20C5CB55" w14:textId="77777777" w:rsidR="00EF5E3E" w:rsidRPr="0023028E" w:rsidRDefault="00EF5E3E" w:rsidP="00EF5E3E">
      <w:pPr>
        <w:spacing w:after="0" w:line="240" w:lineRule="auto"/>
        <w:rPr>
          <w:rFonts w:cstheme="minorHAnsi"/>
          <w:sz w:val="20"/>
          <w:szCs w:val="20"/>
          <w:lang w:val="el-GR"/>
        </w:rPr>
      </w:pPr>
      <w:r w:rsidRPr="0013775B">
        <w:rPr>
          <w:rFonts w:cstheme="minorHAnsi"/>
          <w:sz w:val="20"/>
          <w:szCs w:val="20"/>
          <w:lang w:val="el-GR"/>
        </w:rPr>
        <w:t>Κεντρικά γραφεία: Λεωφ. Ελ. Βενιζέλου 236, Τ.Κ. 16341, Ηλιούπολη</w:t>
      </w:r>
    </w:p>
    <w:p w14:paraId="015A3698" w14:textId="77777777" w:rsidR="00EF5E3E" w:rsidRPr="0023028E" w:rsidRDefault="00EF5E3E" w:rsidP="00EF5E3E">
      <w:pPr>
        <w:spacing w:after="0" w:line="240" w:lineRule="auto"/>
        <w:rPr>
          <w:rFonts w:cstheme="minorHAnsi"/>
          <w:sz w:val="20"/>
          <w:szCs w:val="20"/>
          <w:lang w:val="el-GR"/>
        </w:rPr>
      </w:pPr>
      <w:r w:rsidRPr="0013775B">
        <w:rPr>
          <w:rFonts w:cstheme="minorHAnsi"/>
          <w:sz w:val="20"/>
          <w:szCs w:val="20"/>
          <w:lang w:val="el-GR"/>
        </w:rPr>
        <w:t>Τηλ.: 210 9949837</w:t>
      </w:r>
      <w:r w:rsidRPr="0023028E">
        <w:rPr>
          <w:rFonts w:cstheme="minorHAnsi"/>
          <w:sz w:val="20"/>
          <w:szCs w:val="20"/>
          <w:lang w:val="el-GR"/>
        </w:rPr>
        <w:t xml:space="preserve"> </w:t>
      </w:r>
      <w:r w:rsidRPr="0023028E">
        <w:rPr>
          <w:rFonts w:cstheme="minorHAnsi"/>
          <w:sz w:val="20"/>
          <w:szCs w:val="20"/>
          <w:lang w:val="el-GR"/>
        </w:rPr>
        <w:sym w:font="Wingdings 2" w:char="F097"/>
      </w:r>
      <w:r w:rsidRPr="0023028E">
        <w:rPr>
          <w:rFonts w:cstheme="minorHAnsi"/>
          <w:sz w:val="20"/>
          <w:szCs w:val="20"/>
          <w:lang w:val="el-GR"/>
        </w:rPr>
        <w:t xml:space="preserve"> </w:t>
      </w:r>
      <w:r w:rsidRPr="00EF5E3E">
        <w:rPr>
          <w:rFonts w:cstheme="minorHAnsi"/>
          <w:sz w:val="20"/>
          <w:szCs w:val="20"/>
        </w:rPr>
        <w:t>Fax</w:t>
      </w:r>
      <w:r w:rsidRPr="0013775B">
        <w:rPr>
          <w:rFonts w:cstheme="minorHAnsi"/>
          <w:sz w:val="20"/>
          <w:szCs w:val="20"/>
          <w:lang w:val="el-GR"/>
        </w:rPr>
        <w:t>: 210 5238967</w:t>
      </w:r>
    </w:p>
    <w:p w14:paraId="5BA077F1" w14:textId="186AE952" w:rsidR="00EF5E3E" w:rsidRPr="0023028E" w:rsidRDefault="00EF5E3E" w:rsidP="00EF5E3E">
      <w:pPr>
        <w:spacing w:after="0" w:line="240" w:lineRule="auto"/>
        <w:rPr>
          <w:rFonts w:cstheme="minorHAnsi"/>
          <w:sz w:val="20"/>
          <w:szCs w:val="20"/>
          <w:lang w:val="el-GR"/>
        </w:rPr>
      </w:pPr>
      <w:r w:rsidRPr="00EF5E3E">
        <w:rPr>
          <w:rFonts w:cstheme="minorHAnsi"/>
          <w:sz w:val="20"/>
          <w:szCs w:val="20"/>
        </w:rPr>
        <w:t>E</w:t>
      </w:r>
      <w:r w:rsidRPr="0013775B">
        <w:rPr>
          <w:rFonts w:cstheme="minorHAnsi"/>
          <w:sz w:val="20"/>
          <w:szCs w:val="20"/>
          <w:lang w:val="el-GR"/>
        </w:rPr>
        <w:t>-</w:t>
      </w:r>
      <w:r w:rsidRPr="00EF5E3E">
        <w:rPr>
          <w:rFonts w:cstheme="minorHAnsi"/>
          <w:sz w:val="20"/>
          <w:szCs w:val="20"/>
        </w:rPr>
        <w:t>mail</w:t>
      </w:r>
      <w:r w:rsidRPr="0013775B">
        <w:rPr>
          <w:rFonts w:cstheme="minorHAnsi"/>
          <w:sz w:val="20"/>
          <w:szCs w:val="20"/>
          <w:lang w:val="el-GR"/>
        </w:rPr>
        <w:t>:</w:t>
      </w:r>
      <w:r w:rsidRPr="0023028E">
        <w:rPr>
          <w:rFonts w:cstheme="minorHAnsi"/>
          <w:sz w:val="20"/>
          <w:szCs w:val="20"/>
          <w:lang w:val="el-GR"/>
        </w:rPr>
        <w:t xml:space="preserve"> </w:t>
      </w:r>
      <w:r w:rsidRPr="00EF5E3E">
        <w:rPr>
          <w:rFonts w:cstheme="minorHAnsi"/>
          <w:sz w:val="20"/>
          <w:szCs w:val="20"/>
        </w:rPr>
        <w:t>esaea</w:t>
      </w:r>
      <w:r w:rsidRPr="0013775B">
        <w:rPr>
          <w:rFonts w:cstheme="minorHAnsi"/>
          <w:sz w:val="20"/>
          <w:szCs w:val="20"/>
          <w:lang w:val="el-GR"/>
        </w:rPr>
        <w:t>@</w:t>
      </w:r>
      <w:r w:rsidRPr="00EF5E3E">
        <w:rPr>
          <w:rFonts w:cstheme="minorHAnsi"/>
          <w:sz w:val="20"/>
          <w:szCs w:val="20"/>
        </w:rPr>
        <w:t>otenet</w:t>
      </w:r>
      <w:r w:rsidRPr="0013775B">
        <w:rPr>
          <w:rFonts w:cstheme="minorHAnsi"/>
          <w:sz w:val="20"/>
          <w:szCs w:val="20"/>
          <w:lang w:val="el-GR"/>
        </w:rPr>
        <w:t>.</w:t>
      </w:r>
      <w:r w:rsidRPr="00EF5E3E">
        <w:rPr>
          <w:rFonts w:cstheme="minorHAnsi"/>
          <w:sz w:val="20"/>
          <w:szCs w:val="20"/>
        </w:rPr>
        <w:t>gr</w:t>
      </w:r>
      <w:r w:rsidRPr="0013775B">
        <w:rPr>
          <w:rFonts w:cstheme="minorHAnsi"/>
          <w:sz w:val="20"/>
          <w:szCs w:val="20"/>
          <w:lang w:val="el-GR"/>
        </w:rPr>
        <w:t xml:space="preserve"> </w:t>
      </w:r>
      <w:r w:rsidRPr="0023028E">
        <w:rPr>
          <w:rFonts w:cstheme="minorHAnsi"/>
          <w:sz w:val="20"/>
          <w:szCs w:val="20"/>
          <w:lang w:val="el-GR"/>
        </w:rPr>
        <w:sym w:font="Wingdings 2" w:char="F097"/>
      </w:r>
      <w:r w:rsidRPr="0023028E">
        <w:rPr>
          <w:rFonts w:cstheme="minorHAnsi"/>
          <w:sz w:val="20"/>
          <w:szCs w:val="20"/>
          <w:lang w:val="el-GR"/>
        </w:rPr>
        <w:t xml:space="preserve"> </w:t>
      </w:r>
      <w:r w:rsidRPr="0013775B">
        <w:rPr>
          <w:rFonts w:cstheme="minorHAnsi"/>
          <w:sz w:val="20"/>
          <w:szCs w:val="20"/>
          <w:lang w:val="el-GR"/>
        </w:rPr>
        <w:t xml:space="preserve">Ιστοσελίδα: </w:t>
      </w:r>
      <w:r w:rsidRPr="00EF5E3E">
        <w:rPr>
          <w:rFonts w:cstheme="minorHAnsi"/>
          <w:sz w:val="20"/>
          <w:szCs w:val="20"/>
        </w:rPr>
        <w:t>esamea</w:t>
      </w:r>
      <w:r w:rsidRPr="0013775B">
        <w:rPr>
          <w:rFonts w:cstheme="minorHAnsi"/>
          <w:sz w:val="20"/>
          <w:szCs w:val="20"/>
          <w:lang w:val="el-GR"/>
        </w:rPr>
        <w:t>.</w:t>
      </w:r>
      <w:r w:rsidRPr="00EF5E3E">
        <w:rPr>
          <w:rFonts w:cstheme="minorHAnsi"/>
          <w:sz w:val="20"/>
          <w:szCs w:val="20"/>
        </w:rPr>
        <w:t>gr</w:t>
      </w:r>
    </w:p>
    <w:p w14:paraId="04EBB239" w14:textId="77777777" w:rsidR="0023028E" w:rsidRDefault="0023028E" w:rsidP="00EF5E3E">
      <w:pPr>
        <w:spacing w:after="0" w:line="240" w:lineRule="auto"/>
        <w:rPr>
          <w:rFonts w:cstheme="minorHAnsi"/>
          <w:lang w:val="el-GR"/>
        </w:rPr>
      </w:pPr>
    </w:p>
    <w:p w14:paraId="5B2AEB11" w14:textId="77777777" w:rsidR="0023028E" w:rsidRPr="0023028E" w:rsidRDefault="0023028E" w:rsidP="0023028E">
      <w:pPr>
        <w:spacing w:after="120" w:line="240" w:lineRule="auto"/>
        <w:rPr>
          <w:rFonts w:cstheme="minorHAnsi"/>
          <w:b/>
          <w:bCs/>
          <w:caps/>
          <w:sz w:val="28"/>
          <w:szCs w:val="28"/>
          <w:u w:val="single"/>
          <w:lang w:val="el-GR"/>
        </w:rPr>
      </w:pPr>
      <w:r w:rsidRPr="0023028E">
        <w:rPr>
          <w:rFonts w:cstheme="minorHAnsi"/>
          <w:b/>
          <w:bCs/>
          <w:caps/>
          <w:sz w:val="28"/>
          <w:szCs w:val="28"/>
          <w:u w:val="single"/>
          <w:lang w:val="el-GR"/>
        </w:rPr>
        <w:t>Επεξεργασία και ανάλυση δεδομένων</w:t>
      </w:r>
    </w:p>
    <w:p w14:paraId="1888CE4F" w14:textId="77777777" w:rsidR="0023028E" w:rsidRPr="0023028E" w:rsidRDefault="0023028E" w:rsidP="0023028E">
      <w:pPr>
        <w:spacing w:after="0" w:line="240" w:lineRule="auto"/>
        <w:rPr>
          <w:rFonts w:cstheme="minorHAnsi"/>
          <w:b/>
          <w:bCs/>
          <w:sz w:val="24"/>
          <w:szCs w:val="24"/>
          <w:lang w:val="el-GR"/>
        </w:rPr>
      </w:pPr>
      <w:r w:rsidRPr="0023028E">
        <w:rPr>
          <w:rFonts w:cstheme="minorHAnsi"/>
          <w:b/>
          <w:bCs/>
          <w:sz w:val="24"/>
          <w:szCs w:val="24"/>
          <w:lang w:val="el-GR"/>
        </w:rPr>
        <w:t>Φανή Προβή, Ma Social Research</w:t>
      </w:r>
    </w:p>
    <w:p w14:paraId="44CBD804" w14:textId="535F6C16" w:rsidR="0023028E" w:rsidRPr="0013775B" w:rsidRDefault="0023028E" w:rsidP="0023028E">
      <w:pPr>
        <w:spacing w:after="0" w:line="240" w:lineRule="auto"/>
        <w:ind w:right="282"/>
        <w:rPr>
          <w:rFonts w:cstheme="minorHAnsi"/>
          <w:i/>
          <w:iCs/>
          <w:sz w:val="20"/>
          <w:szCs w:val="20"/>
          <w:lang w:val="el-GR"/>
        </w:rPr>
      </w:pPr>
      <w:r w:rsidRPr="0013775B">
        <w:rPr>
          <w:rFonts w:cstheme="minorHAnsi"/>
          <w:i/>
          <w:iCs/>
          <w:sz w:val="20"/>
          <w:szCs w:val="20"/>
          <w:lang w:val="el-GR"/>
        </w:rPr>
        <w:t>Επιστημονική Υπεύθυνη Παρατηρητηρίου Θεμάτων Αναπηρίας / Επιστημονικό Στέλεχος Ε.Σ.Α.μεΑ</w:t>
      </w:r>
    </w:p>
    <w:p w14:paraId="2B8E3EB5" w14:textId="77777777" w:rsidR="00EF5E3E" w:rsidRDefault="00EF5E3E" w:rsidP="0023028E">
      <w:pPr>
        <w:spacing w:before="240" w:after="0" w:line="240" w:lineRule="auto"/>
        <w:rPr>
          <w:rFonts w:cstheme="minorHAnsi"/>
          <w:lang w:val="el-GR"/>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494"/>
      </w:tblGrid>
      <w:tr w:rsidR="001B7216" w:rsidRPr="00E7208C" w14:paraId="1B23CC4B" w14:textId="77777777" w:rsidTr="001B7216">
        <w:tc>
          <w:tcPr>
            <w:tcW w:w="8494" w:type="dxa"/>
            <w:shd w:val="clear" w:color="auto" w:fill="F2F2F2" w:themeFill="background1" w:themeFillShade="F2"/>
          </w:tcPr>
          <w:p w14:paraId="7CB93CC2" w14:textId="18E40822" w:rsidR="001B7216" w:rsidRPr="0023028E" w:rsidRDefault="001B7216" w:rsidP="001B7216">
            <w:pPr>
              <w:spacing w:before="120" w:after="120" w:line="240" w:lineRule="auto"/>
              <w:ind w:right="-1"/>
              <w:jc w:val="both"/>
              <w:rPr>
                <w:rFonts w:cstheme="minorHAnsi"/>
                <w:spacing w:val="-4"/>
                <w:sz w:val="21"/>
                <w:szCs w:val="21"/>
                <w:lang w:val="el-GR"/>
              </w:rPr>
            </w:pPr>
            <w:r w:rsidRPr="0023028E">
              <w:rPr>
                <w:rFonts w:cstheme="minorHAnsi"/>
                <w:spacing w:val="-4"/>
                <w:sz w:val="21"/>
                <w:szCs w:val="21"/>
                <w:lang w:val="el-GR"/>
              </w:rPr>
              <w:t xml:space="preserve">Τα Δελτία Στατιστικής Πληροφόρησης της Εθνικής Συνομοσπονδίας </w:t>
            </w:r>
            <w:r w:rsidR="0023028E">
              <w:rPr>
                <w:rFonts w:cstheme="minorHAnsi"/>
                <w:spacing w:val="-4"/>
                <w:sz w:val="21"/>
                <w:szCs w:val="21"/>
                <w:lang w:val="el-GR"/>
              </w:rPr>
              <w:t>Α</w:t>
            </w:r>
            <w:r w:rsidRPr="0023028E">
              <w:rPr>
                <w:rFonts w:cstheme="minorHAnsi"/>
                <w:spacing w:val="-4"/>
                <w:sz w:val="21"/>
                <w:szCs w:val="21"/>
                <w:lang w:val="el-GR"/>
              </w:rPr>
              <w:t xml:space="preserve">τόμων με </w:t>
            </w:r>
            <w:r w:rsidR="0023028E">
              <w:rPr>
                <w:rFonts w:cstheme="minorHAnsi"/>
                <w:spacing w:val="-4"/>
                <w:sz w:val="21"/>
                <w:szCs w:val="21"/>
                <w:lang w:val="el-GR"/>
              </w:rPr>
              <w:t>Α</w:t>
            </w:r>
            <w:r w:rsidRPr="0023028E">
              <w:rPr>
                <w:rFonts w:cstheme="minorHAnsi"/>
                <w:spacing w:val="-4"/>
                <w:sz w:val="21"/>
                <w:szCs w:val="21"/>
                <w:lang w:val="el-GR"/>
              </w:rPr>
              <w:t>ναπηρία (Ε.Σ.Α.μεΑ.) εντάσσονται στο Έργο «Παρατηρητήριο Θεμάτων Αναπηρίας» που χρηματοδοτείται από το Ευρωπαϊκό Κοινωνικό Ταμείο και από εθνικούς πόρους, με αντικείμενο την επιστημονική καταγραφή, τη μελέτη και την έρευνα σε θέματα αναπηρίας.</w:t>
            </w:r>
          </w:p>
          <w:p w14:paraId="695CC906" w14:textId="77777777" w:rsidR="001B7216" w:rsidRPr="0023028E" w:rsidRDefault="001B7216" w:rsidP="001B7216">
            <w:pPr>
              <w:spacing w:before="120" w:after="120" w:line="240" w:lineRule="auto"/>
              <w:ind w:right="-1"/>
              <w:jc w:val="both"/>
              <w:rPr>
                <w:rFonts w:cstheme="minorHAnsi"/>
                <w:spacing w:val="-4"/>
                <w:sz w:val="21"/>
                <w:szCs w:val="21"/>
                <w:lang w:val="el-GR"/>
              </w:rPr>
            </w:pPr>
            <w:r w:rsidRPr="0023028E">
              <w:rPr>
                <w:rFonts w:cstheme="minorHAnsi"/>
                <w:spacing w:val="-4"/>
                <w:sz w:val="21"/>
                <w:szCs w:val="21"/>
                <w:lang w:val="el-GR"/>
              </w:rPr>
              <w:t>Στόχος του Έργου αποτελεί η καθιέρωση του Παρατηρητηρίου ως βασική πηγή πληροφόρησης για τις εξελίξεις στο πεδίο της αναπηρίας. Συγκεντρώνοντας και αναλύοντας δεδομένα και πληροφόρηση από εγχώριες και διεθνείς πηγές, το Παρατηρητήριο συμβάλλει στην παρακολούθηση, στην προστασία και στην προώθηση των δικαιωμάτων των ατόμων με αναπηρία, χρόνιες παθήσεις και των οικογενειών τους.</w:t>
            </w:r>
          </w:p>
          <w:p w14:paraId="2798D069" w14:textId="77777777" w:rsidR="001B7216" w:rsidRPr="0023028E" w:rsidRDefault="001B7216" w:rsidP="001B7216">
            <w:pPr>
              <w:spacing w:before="120" w:after="120" w:line="240" w:lineRule="auto"/>
              <w:ind w:right="-1"/>
              <w:jc w:val="both"/>
              <w:rPr>
                <w:rFonts w:cstheme="minorHAnsi"/>
                <w:spacing w:val="-4"/>
                <w:sz w:val="21"/>
                <w:szCs w:val="21"/>
                <w:lang w:val="el-GR"/>
              </w:rPr>
            </w:pPr>
            <w:r w:rsidRPr="0023028E">
              <w:rPr>
                <w:rFonts w:cstheme="minorHAnsi"/>
                <w:spacing w:val="-4"/>
                <w:sz w:val="21"/>
                <w:szCs w:val="21"/>
                <w:lang w:val="el-GR"/>
              </w:rPr>
              <w:t>Με τον νόμο 4488/2017, το Παρατηρητήριο της Ε.Σ.Α.μεΑ. θεσμοθετείται ως ο βασικός συνομιλητής της Ελληνικής Στατιστικής Αρχής και των λοιπών φορέων του Ελληνικού Στατιστικού Συστήματος αναφορικά με την υποχρέωσή τους να αναπτύσσουν, να παράγουν και να διαδίδουν επίσημες στατιστικές σχετικά με τα άτομα με αναπηρία. Ειδικότερα, προβλέπεται ότι για τους σκοπούς του σχεδιασμού των ως άνω στατιστικών και της διάχυσης των παραγόμενων δεδομένων, οι αρμόδιοι φορείς τελούν σε διαβούλευση με το Παρατηρητήριο Θεμάτων Αναπηρίας της Εθνικής Συνομοσπονδίας Ατόμων με Αναπηρία.</w:t>
            </w:r>
          </w:p>
          <w:p w14:paraId="2C800ED5" w14:textId="77777777" w:rsidR="001B7216" w:rsidRPr="0023028E" w:rsidRDefault="001B7216" w:rsidP="001B7216">
            <w:pPr>
              <w:spacing w:before="120" w:after="120" w:line="240" w:lineRule="auto"/>
              <w:ind w:right="-1"/>
              <w:jc w:val="both"/>
              <w:rPr>
                <w:rFonts w:cstheme="minorHAnsi"/>
                <w:spacing w:val="-4"/>
                <w:sz w:val="21"/>
                <w:szCs w:val="21"/>
                <w:lang w:val="el-GR"/>
              </w:rPr>
            </w:pPr>
            <w:r w:rsidRPr="0023028E">
              <w:rPr>
                <w:rFonts w:cstheme="minorHAnsi"/>
                <w:spacing w:val="-4"/>
                <w:sz w:val="21"/>
                <w:szCs w:val="21"/>
                <w:lang w:val="el-GR"/>
              </w:rPr>
              <w:t>Σε αυτό το πλαίσιο συντάσσονται και δημοσιεύονται, ανά τακτά χρονικά διαστήματα, δελτία στατιστικής πληροφόρησης αφιερωμένα σε συγκριμένα θεματικά πεδία, όπου παρουσιάζονται τα σημαντικότερα ευρήματα και τάσεις όπως αυτά προκύπτουν μέσω της επεξεργασίας των διαθέσιμων στατιστικών στοιχείων.</w:t>
            </w:r>
          </w:p>
          <w:p w14:paraId="32E520B0" w14:textId="52C2040C" w:rsidR="001B7216" w:rsidRDefault="001B7216" w:rsidP="007E7C70">
            <w:pPr>
              <w:spacing w:before="120" w:after="120" w:line="240" w:lineRule="auto"/>
              <w:rPr>
                <w:rFonts w:cstheme="minorHAnsi"/>
                <w:lang w:val="el-GR"/>
              </w:rPr>
            </w:pPr>
            <w:r w:rsidRPr="0023028E">
              <w:rPr>
                <w:rFonts w:cstheme="minorHAnsi"/>
                <w:i/>
                <w:iCs/>
                <w:sz w:val="21"/>
                <w:szCs w:val="21"/>
                <w:lang w:val="el-GR"/>
              </w:rPr>
              <w:t xml:space="preserve">Για περισσότερες πληροφορίες για το Έργο, απευθυνθείτε στην Ιστοσελίδα του Έργου: </w:t>
            </w:r>
            <w:hyperlink r:id="rId10" w:tooltip="Επίσημη Ιστοσελίδα της Πράξης " w:history="1">
              <w:r w:rsidRPr="007E7C70">
                <w:rPr>
                  <w:rStyle w:val="-0"/>
                  <w:rFonts w:cstheme="minorHAnsi"/>
                  <w:i/>
                  <w:iCs/>
                  <w:color w:val="1C6194" w:themeColor="accent2" w:themeShade="BF"/>
                  <w:sz w:val="21"/>
                  <w:szCs w:val="21"/>
                  <w:u w:val="none"/>
                  <w:lang w:val="el-GR"/>
                </w:rPr>
                <w:t>www.paratiritirioanapirias.gr</w:t>
              </w:r>
            </w:hyperlink>
          </w:p>
        </w:tc>
      </w:tr>
    </w:tbl>
    <w:p w14:paraId="5BF29EA9" w14:textId="14CC9B1F" w:rsidR="0023028E" w:rsidRPr="00A95E35" w:rsidRDefault="0023028E" w:rsidP="0023028E">
      <w:pPr>
        <w:spacing w:before="120"/>
        <w:rPr>
          <w:sz w:val="20"/>
          <w:szCs w:val="20"/>
          <w:lang w:val="el-GR"/>
        </w:rPr>
      </w:pPr>
      <w:r w:rsidRPr="00A95E35">
        <w:rPr>
          <w:noProof/>
        </w:rPr>
        <w:drawing>
          <wp:anchor distT="0" distB="0" distL="114300" distR="114300" simplePos="0" relativeHeight="251664384" behindDoc="0" locked="0" layoutInCell="1" allowOverlap="1" wp14:anchorId="724D62A5" wp14:editId="76CD85EE">
            <wp:simplePos x="0" y="0"/>
            <wp:positionH relativeFrom="column">
              <wp:posOffset>137795</wp:posOffset>
            </wp:positionH>
            <wp:positionV relativeFrom="paragraph">
              <wp:posOffset>314960</wp:posOffset>
            </wp:positionV>
            <wp:extent cx="914400" cy="914400"/>
            <wp:effectExtent l="0" t="0" r="0" b="0"/>
            <wp:wrapSquare wrapText="bothSides"/>
            <wp:docPr id="1543200339"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6057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914400" cy="914400"/>
                    </a:xfrm>
                    <a:prstGeom prst="rect">
                      <a:avLst/>
                    </a:prstGeom>
                    <a:noFill/>
                  </pic:spPr>
                </pic:pic>
              </a:graphicData>
            </a:graphic>
          </wp:anchor>
        </w:drawing>
      </w:r>
    </w:p>
    <w:p w14:paraId="05BDA12D" w14:textId="0C14CB6C" w:rsidR="0023028E" w:rsidRPr="00A95E35" w:rsidRDefault="0023028E" w:rsidP="0023028E">
      <w:pPr>
        <w:pBdr>
          <w:top w:val="single" w:sz="4" w:space="1" w:color="auto"/>
        </w:pBdr>
        <w:ind w:left="2127" w:right="707"/>
        <w:rPr>
          <w:sz w:val="20"/>
          <w:szCs w:val="20"/>
          <w:lang w:val="el-GR"/>
        </w:rPr>
      </w:pPr>
      <w:r w:rsidRPr="00A95E35">
        <w:rPr>
          <w:sz w:val="20"/>
          <w:szCs w:val="20"/>
          <w:lang w:val="el-GR"/>
        </w:rPr>
        <w:t xml:space="preserve">Προσβάσιμο αρχείο </w:t>
      </w:r>
      <w:r w:rsidRPr="00A95E35">
        <w:rPr>
          <w:sz w:val="20"/>
          <w:szCs w:val="20"/>
          <w:lang w:val="en-GB"/>
        </w:rPr>
        <w:t>Microsoft</w:t>
      </w:r>
      <w:r w:rsidRPr="00A95E35">
        <w:rPr>
          <w:sz w:val="20"/>
          <w:szCs w:val="20"/>
          <w:lang w:val="el-GR"/>
        </w:rPr>
        <w:t xml:space="preserve"> </w:t>
      </w:r>
      <w:r w:rsidRPr="00A95E35">
        <w:rPr>
          <w:sz w:val="20"/>
          <w:szCs w:val="20"/>
          <w:lang w:val="en-GB"/>
        </w:rPr>
        <w:t>Word</w:t>
      </w:r>
      <w:r w:rsidRPr="00A95E35">
        <w:rPr>
          <w:sz w:val="20"/>
          <w:szCs w:val="20"/>
          <w:lang w:val="el-GR"/>
        </w:rPr>
        <w:t xml:space="preserve"> (*.</w:t>
      </w:r>
      <w:r w:rsidRPr="00A95E35">
        <w:rPr>
          <w:sz w:val="20"/>
          <w:szCs w:val="20"/>
          <w:lang w:val="en-GB"/>
        </w:rPr>
        <w:t>docx</w:t>
      </w:r>
      <w:r w:rsidRPr="00A95E35">
        <w:rPr>
          <w:sz w:val="20"/>
          <w:szCs w:val="20"/>
          <w:lang w:val="el-GR"/>
        </w:rPr>
        <w:t>)</w:t>
      </w:r>
    </w:p>
    <w:p w14:paraId="56DCDE6A" w14:textId="77777777" w:rsidR="0023028E" w:rsidRPr="00A95E35" w:rsidRDefault="0023028E" w:rsidP="0023028E">
      <w:pPr>
        <w:pBdr>
          <w:bottom w:val="single" w:sz="4" w:space="1" w:color="auto"/>
        </w:pBdr>
        <w:ind w:left="2127" w:right="707"/>
        <w:rPr>
          <w:rFonts w:cstheme="minorHAnsi"/>
          <w:lang w:val="el-GR"/>
        </w:rPr>
      </w:pPr>
      <w:r w:rsidRPr="00A95E35">
        <w:rPr>
          <w:sz w:val="20"/>
          <w:szCs w:val="20"/>
          <w:lang w:val="el-GR"/>
        </w:rPr>
        <w:t xml:space="preserve">Το παρόν αρχείο ελέγχθηκε με το εργαλείο </w:t>
      </w:r>
      <w:r w:rsidRPr="00A95E35">
        <w:rPr>
          <w:i/>
          <w:sz w:val="20"/>
          <w:szCs w:val="20"/>
          <w:lang w:val="en-GB"/>
        </w:rPr>
        <w:t>Microsoft</w:t>
      </w:r>
      <w:r w:rsidRPr="00A95E35">
        <w:rPr>
          <w:i/>
          <w:sz w:val="20"/>
          <w:szCs w:val="20"/>
          <w:lang w:val="el-GR"/>
        </w:rPr>
        <w:t xml:space="preserve"> </w:t>
      </w:r>
      <w:r w:rsidRPr="00A95E35">
        <w:rPr>
          <w:i/>
          <w:sz w:val="20"/>
          <w:szCs w:val="20"/>
          <w:lang w:val="en-GB"/>
        </w:rPr>
        <w:t>Accessibility</w:t>
      </w:r>
      <w:r w:rsidRPr="00A95E35">
        <w:rPr>
          <w:i/>
          <w:sz w:val="20"/>
          <w:szCs w:val="20"/>
          <w:lang w:val="el-GR"/>
        </w:rPr>
        <w:t xml:space="preserve"> </w:t>
      </w:r>
      <w:r w:rsidRPr="00A95E35">
        <w:rPr>
          <w:i/>
          <w:sz w:val="20"/>
          <w:szCs w:val="20"/>
          <w:lang w:val="en-GB"/>
        </w:rPr>
        <w:t>Checker</w:t>
      </w:r>
      <w:r w:rsidRPr="00A95E35">
        <w:rPr>
          <w:i/>
          <w:sz w:val="20"/>
          <w:szCs w:val="20"/>
          <w:lang w:val="el-GR"/>
        </w:rPr>
        <w:t xml:space="preserve"> </w:t>
      </w:r>
      <w:r w:rsidRPr="00A95E35">
        <w:rPr>
          <w:sz w:val="20"/>
          <w:szCs w:val="20"/>
          <w:lang w:val="el-GR"/>
        </w:rPr>
        <w:t>και δεν βρέθηκαν θέματα προσβασιμότητας. Τα άτομα με αναπηρία δεν θα αντιμετωπίζουν δυσκολίες στην ανάγνωσή του.</w:t>
      </w:r>
    </w:p>
    <w:p w14:paraId="318C9C0F" w14:textId="543C5E44" w:rsidR="001B7216" w:rsidRDefault="001B7216" w:rsidP="0023028E">
      <w:pPr>
        <w:spacing w:before="720" w:after="0" w:line="240" w:lineRule="auto"/>
        <w:jc w:val="center"/>
        <w:rPr>
          <w:rFonts w:cstheme="minorHAnsi"/>
          <w:lang w:val="el-GR"/>
        </w:rPr>
      </w:pPr>
      <w:r>
        <w:rPr>
          <w:rFonts w:ascii="Aptos Light" w:hAnsi="Aptos Light"/>
          <w:noProof/>
          <w:color w:val="808080" w:themeColor="background1" w:themeShade="80"/>
          <w:sz w:val="32"/>
          <w:szCs w:val="32"/>
          <w:lang w:val="el-GR"/>
        </w:rPr>
        <w:drawing>
          <wp:inline distT="0" distB="0" distL="0" distR="0" wp14:anchorId="471EC217" wp14:editId="1AB397A6">
            <wp:extent cx="5143500" cy="495300"/>
            <wp:effectExtent l="0" t="0" r="0" b="0"/>
            <wp:docPr id="989087849" name="Picture 4" descr="Λογότυπο Προγράμματος:&#10;Πρόγραμμα &quot;Ανθρώπινο Δυναμικό και Κοινωνική Συνοχή&quot;.&#10;Με τη συγχρηματοδότηση της Ευρωπαϊκής Ένωσης.&#10;ΕΣΠΑ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33752" name="Picture 4" descr="Λογότυπο Προγράμματος:&#10;Πρόγραμμα &quot;Ανθρώπινο Δυναμικό και Κοινωνική Συνοχή&quot;.&#10;Με τη συγχρηματοδότηση της Ευρωπαϊκής Ένωσης.&#10;ΕΣΠΑ 2021-202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818"/>
                    <a:stretch>
                      <a:fillRect/>
                    </a:stretch>
                  </pic:blipFill>
                  <pic:spPr bwMode="auto">
                    <a:xfrm>
                      <a:off x="0" y="0"/>
                      <a:ext cx="5143500" cy="495300"/>
                    </a:xfrm>
                    <a:prstGeom prst="rect">
                      <a:avLst/>
                    </a:prstGeom>
                    <a:noFill/>
                    <a:ln>
                      <a:noFill/>
                    </a:ln>
                    <a:extLst>
                      <a:ext uri="{53640926-AAD7-44D8-BBD7-CCE9431645EC}">
                        <a14:shadowObscured xmlns:a14="http://schemas.microsoft.com/office/drawing/2010/main"/>
                      </a:ext>
                    </a:extLst>
                  </pic:spPr>
                </pic:pic>
              </a:graphicData>
            </a:graphic>
          </wp:inline>
        </w:drawing>
      </w:r>
    </w:p>
    <w:p w14:paraId="1660AF53" w14:textId="77777777" w:rsidR="001B7216" w:rsidRPr="00EF5E3E" w:rsidRDefault="001B7216">
      <w:pPr>
        <w:spacing w:after="0" w:line="240" w:lineRule="auto"/>
        <w:rPr>
          <w:rFonts w:cstheme="minorHAnsi"/>
          <w:lang w:val="el-GR"/>
        </w:rPr>
      </w:pPr>
    </w:p>
    <w:p w14:paraId="40D52AD9" w14:textId="77777777" w:rsidR="001B7216" w:rsidRDefault="001B7216" w:rsidP="001B7216">
      <w:pPr>
        <w:spacing w:after="0" w:line="240" w:lineRule="auto"/>
        <w:rPr>
          <w:lang w:val="el-GR"/>
        </w:rPr>
        <w:sectPr w:rsidR="001B7216" w:rsidSect="00EF5E3E">
          <w:headerReference w:type="default" r:id="rId12"/>
          <w:headerReference w:type="first" r:id="rId13"/>
          <w:footerReference w:type="first" r:id="rId14"/>
          <w:pgSz w:w="11906" w:h="16838"/>
          <w:pgMar w:top="1985" w:right="1559" w:bottom="1440" w:left="1843" w:header="0" w:footer="0" w:gutter="0"/>
          <w:cols w:space="708"/>
          <w:titlePg/>
          <w:docGrid w:linePitch="360"/>
        </w:sectPr>
      </w:pPr>
    </w:p>
    <w:sdt>
      <w:sdtPr>
        <w:rPr>
          <w:rFonts w:asciiTheme="minorHAnsi" w:eastAsiaTheme="minorHAnsi" w:hAnsiTheme="minorHAnsi" w:cstheme="minorBidi"/>
          <w:color w:val="auto"/>
          <w:sz w:val="22"/>
          <w:szCs w:val="22"/>
          <w:lang w:val="el-GR" w:eastAsia="en-US"/>
        </w:rPr>
        <w:id w:val="1997913206"/>
        <w:docPartObj>
          <w:docPartGallery w:val="Table of Contents"/>
          <w:docPartUnique/>
        </w:docPartObj>
      </w:sdtPr>
      <w:sdtEndPr>
        <w:rPr>
          <w:b/>
          <w:bCs/>
        </w:rPr>
      </w:sdtEndPr>
      <w:sdtContent>
        <w:p w14:paraId="6AA03DE4" w14:textId="11B72ECC" w:rsidR="00C761A3" w:rsidRPr="007E1E34" w:rsidRDefault="00C761A3" w:rsidP="007E1E34">
          <w:pPr>
            <w:pStyle w:val="af9"/>
            <w:spacing w:after="240"/>
            <w:rPr>
              <w:b/>
              <w:bCs/>
              <w:color w:val="auto"/>
              <w:u w:val="single"/>
            </w:rPr>
          </w:pPr>
          <w:r w:rsidRPr="007E1E34">
            <w:rPr>
              <w:b/>
              <w:bCs/>
              <w:color w:val="auto"/>
              <w:u w:val="single"/>
              <w:lang w:val="el-GR"/>
            </w:rPr>
            <w:t>Πίνακας περιεχομένων</w:t>
          </w:r>
        </w:p>
        <w:p w14:paraId="2C85D057" w14:textId="2242E9AC" w:rsidR="00A62D5B" w:rsidRPr="00E55D71" w:rsidRDefault="00C761A3" w:rsidP="00A62D5B">
          <w:pPr>
            <w:pStyle w:val="11"/>
            <w:spacing w:after="240"/>
            <w:ind w:left="425" w:hanging="425"/>
            <w:rPr>
              <w:rFonts w:ascii="Aptos Light" w:eastAsiaTheme="minorEastAsia" w:hAnsi="Aptos Light"/>
              <w:noProof/>
              <w:kern w:val="2"/>
              <w:sz w:val="24"/>
              <w:szCs w:val="24"/>
              <w:lang w:bidi="he-IL"/>
              <w14:ligatures w14:val="standardContextual"/>
            </w:rPr>
          </w:pPr>
          <w:r>
            <w:fldChar w:fldCharType="begin"/>
          </w:r>
          <w:r>
            <w:instrText xml:space="preserve"> TOC \o "1-3" \h \z \u </w:instrText>
          </w:r>
          <w:r>
            <w:fldChar w:fldCharType="separate"/>
          </w:r>
          <w:hyperlink w:anchor="_Toc235457000" w:history="1">
            <w:r w:rsidR="00A62D5B" w:rsidRPr="00E55D71">
              <w:rPr>
                <w:rStyle w:val="-0"/>
                <w:rFonts w:ascii="Aptos Light" w:hAnsi="Aptos Light"/>
                <w:b/>
                <w:bCs/>
                <w:noProof/>
                <w:color w:val="auto"/>
                <w:lang w:val="el-GR"/>
              </w:rPr>
              <w:t>Εισαγωγή</w:t>
            </w:r>
            <w:r w:rsidR="00A62D5B" w:rsidRPr="00E55D71">
              <w:rPr>
                <w:rFonts w:ascii="Aptos Light" w:hAnsi="Aptos Light"/>
                <w:noProof/>
                <w:webHidden/>
              </w:rPr>
              <w:tab/>
            </w:r>
            <w:r w:rsidR="00A62D5B" w:rsidRPr="00E55D71">
              <w:rPr>
                <w:rFonts w:ascii="Aptos Light" w:hAnsi="Aptos Light"/>
                <w:noProof/>
                <w:webHidden/>
              </w:rPr>
              <w:fldChar w:fldCharType="begin"/>
            </w:r>
            <w:r w:rsidR="00A62D5B" w:rsidRPr="00E55D71">
              <w:rPr>
                <w:rFonts w:ascii="Aptos Light" w:hAnsi="Aptos Light"/>
                <w:noProof/>
                <w:webHidden/>
              </w:rPr>
              <w:instrText xml:space="preserve"> PAGEREF _Toc235457000 \h </w:instrText>
            </w:r>
            <w:r w:rsidR="00A62D5B" w:rsidRPr="00E55D71">
              <w:rPr>
                <w:rFonts w:ascii="Aptos Light" w:hAnsi="Aptos Light"/>
                <w:noProof/>
                <w:webHidden/>
              </w:rPr>
            </w:r>
            <w:r w:rsidR="00A62D5B" w:rsidRPr="00E55D71">
              <w:rPr>
                <w:rFonts w:ascii="Aptos Light" w:hAnsi="Aptos Light"/>
                <w:noProof/>
                <w:webHidden/>
              </w:rPr>
              <w:fldChar w:fldCharType="separate"/>
            </w:r>
            <w:r w:rsidR="00A62D5B" w:rsidRPr="00E55D71">
              <w:rPr>
                <w:rFonts w:ascii="Aptos Light" w:hAnsi="Aptos Light"/>
                <w:noProof/>
                <w:webHidden/>
              </w:rPr>
              <w:t>2</w:t>
            </w:r>
            <w:r w:rsidR="00A62D5B" w:rsidRPr="00E55D71">
              <w:rPr>
                <w:rFonts w:ascii="Aptos Light" w:hAnsi="Aptos Light"/>
                <w:noProof/>
                <w:webHidden/>
              </w:rPr>
              <w:fldChar w:fldCharType="end"/>
            </w:r>
          </w:hyperlink>
        </w:p>
        <w:p w14:paraId="24966822" w14:textId="54C051BB" w:rsidR="00A62D5B" w:rsidRPr="00E55D71" w:rsidRDefault="00A62D5B" w:rsidP="00A62D5B">
          <w:pPr>
            <w:pStyle w:val="11"/>
            <w:spacing w:after="240"/>
            <w:ind w:left="425" w:hanging="425"/>
            <w:rPr>
              <w:rFonts w:ascii="Aptos Light" w:eastAsiaTheme="minorEastAsia" w:hAnsi="Aptos Light"/>
              <w:noProof/>
              <w:kern w:val="2"/>
              <w:sz w:val="24"/>
              <w:szCs w:val="24"/>
              <w:lang w:bidi="he-IL"/>
              <w14:ligatures w14:val="standardContextual"/>
            </w:rPr>
          </w:pPr>
          <w:hyperlink w:anchor="_Toc235457001" w:history="1">
            <w:r w:rsidRPr="00E55D71">
              <w:rPr>
                <w:rStyle w:val="-0"/>
                <w:rFonts w:ascii="Aptos Light" w:hAnsi="Aptos Light"/>
                <w:b/>
                <w:bCs/>
                <w:noProof/>
                <w:color w:val="auto"/>
                <w:lang w:val="el-GR"/>
              </w:rPr>
              <w:t>Βασικά Ευρήματα</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_Toc235457001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4</w:t>
            </w:r>
            <w:r w:rsidRPr="00E55D71">
              <w:rPr>
                <w:rFonts w:ascii="Aptos Light" w:hAnsi="Aptos Light"/>
                <w:noProof/>
                <w:webHidden/>
              </w:rPr>
              <w:fldChar w:fldCharType="end"/>
            </w:r>
          </w:hyperlink>
        </w:p>
        <w:p w14:paraId="3925A19D" w14:textId="03BB6DA2" w:rsidR="00A62D5B" w:rsidRPr="00E55D71" w:rsidRDefault="00A62D5B">
          <w:pPr>
            <w:pStyle w:val="11"/>
            <w:rPr>
              <w:rFonts w:ascii="Aptos Light" w:eastAsiaTheme="minorEastAsia" w:hAnsi="Aptos Light"/>
              <w:noProof/>
              <w:kern w:val="2"/>
              <w:sz w:val="24"/>
              <w:szCs w:val="24"/>
              <w:lang w:bidi="he-IL"/>
              <w14:ligatures w14:val="standardContextual"/>
            </w:rPr>
          </w:pPr>
          <w:hyperlink w:anchor="_Toc235457002" w:history="1">
            <w:r w:rsidRPr="00E55D71">
              <w:rPr>
                <w:rStyle w:val="-0"/>
                <w:rFonts w:ascii="Aptos Light" w:hAnsi="Aptos Light"/>
                <w:b/>
                <w:bCs/>
                <w:noProof/>
                <w:color w:val="auto"/>
                <w:lang w:val="el-GR"/>
              </w:rPr>
              <w:t>Βασικά Συμπεράσματα</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_Toc235457002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6</w:t>
            </w:r>
            <w:r w:rsidRPr="00E55D71">
              <w:rPr>
                <w:rFonts w:ascii="Aptos Light" w:hAnsi="Aptos Light"/>
                <w:noProof/>
                <w:webHidden/>
              </w:rPr>
              <w:fldChar w:fldCharType="end"/>
            </w:r>
          </w:hyperlink>
        </w:p>
        <w:p w14:paraId="73B5E5E4" w14:textId="17F7B027" w:rsidR="00A62D5B" w:rsidRPr="00E55D71" w:rsidRDefault="00A62D5B" w:rsidP="00A62D5B">
          <w:pPr>
            <w:pStyle w:val="11"/>
            <w:spacing w:after="240"/>
            <w:ind w:left="425" w:hanging="425"/>
            <w:rPr>
              <w:rFonts w:ascii="Aptos Light" w:eastAsiaTheme="minorEastAsia" w:hAnsi="Aptos Light"/>
              <w:noProof/>
              <w:kern w:val="2"/>
              <w:sz w:val="24"/>
              <w:szCs w:val="24"/>
              <w:lang w:bidi="he-IL"/>
              <w14:ligatures w14:val="standardContextual"/>
            </w:rPr>
          </w:pPr>
          <w:hyperlink w:anchor="_Toc235457003" w:history="1">
            <w:r w:rsidRPr="00E55D71">
              <w:rPr>
                <w:rStyle w:val="-0"/>
                <w:rFonts w:ascii="Aptos Light" w:hAnsi="Aptos Light"/>
                <w:b/>
                <w:bCs/>
                <w:noProof/>
                <w:color w:val="auto"/>
                <w:lang w:val="el-GR"/>
              </w:rPr>
              <w:t>Ανάλυση Ευρημάτων</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_Toc235457003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8</w:t>
            </w:r>
            <w:r w:rsidRPr="00E55D71">
              <w:rPr>
                <w:rFonts w:ascii="Aptos Light" w:hAnsi="Aptos Light"/>
                <w:noProof/>
                <w:webHidden/>
              </w:rPr>
              <w:fldChar w:fldCharType="end"/>
            </w:r>
          </w:hyperlink>
        </w:p>
        <w:p w14:paraId="24413E36" w14:textId="311DECE8" w:rsidR="00A62D5B" w:rsidRPr="00E55D71" w:rsidRDefault="00A62D5B">
          <w:pPr>
            <w:pStyle w:val="11"/>
            <w:rPr>
              <w:rFonts w:ascii="Aptos Light" w:eastAsiaTheme="minorEastAsia" w:hAnsi="Aptos Light"/>
              <w:noProof/>
              <w:kern w:val="2"/>
              <w:sz w:val="24"/>
              <w:szCs w:val="24"/>
              <w:lang w:bidi="he-IL"/>
              <w14:ligatures w14:val="standardContextual"/>
            </w:rPr>
          </w:pPr>
          <w:hyperlink w:anchor="_Toc235457004" w:history="1">
            <w:r w:rsidRPr="00E55D71">
              <w:rPr>
                <w:rStyle w:val="-0"/>
                <w:rFonts w:ascii="Aptos Light" w:hAnsi="Aptos Light"/>
                <w:b/>
                <w:bCs/>
                <w:noProof/>
                <w:color w:val="auto"/>
              </w:rPr>
              <w:t>1</w:t>
            </w:r>
            <w:r w:rsidRPr="00E55D71">
              <w:rPr>
                <w:rFonts w:ascii="Aptos Light" w:eastAsiaTheme="minorEastAsia" w:hAnsi="Aptos Light"/>
                <w:noProof/>
                <w:kern w:val="2"/>
                <w:sz w:val="24"/>
                <w:szCs w:val="24"/>
                <w:lang w:bidi="he-IL"/>
                <w14:ligatures w14:val="standardContextual"/>
              </w:rPr>
              <w:tab/>
            </w:r>
            <w:r w:rsidRPr="00E55D71">
              <w:rPr>
                <w:rStyle w:val="-0"/>
                <w:rFonts w:ascii="Aptos Light" w:hAnsi="Aptos Light"/>
                <w:b/>
                <w:bCs/>
                <w:noProof/>
                <w:color w:val="auto"/>
              </w:rPr>
              <w:t>Επιβάρυνση από το κόστος Στέγασης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_Toc235457004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8</w:t>
            </w:r>
            <w:r w:rsidRPr="00E55D71">
              <w:rPr>
                <w:rFonts w:ascii="Aptos Light" w:hAnsi="Aptos Light"/>
                <w:noProof/>
                <w:webHidden/>
              </w:rPr>
              <w:fldChar w:fldCharType="end"/>
            </w:r>
          </w:hyperlink>
        </w:p>
        <w:p w14:paraId="75FC641F" w14:textId="4641C351" w:rsidR="00A62D5B" w:rsidRPr="00E55D71" w:rsidRDefault="00A62D5B" w:rsidP="00A62D5B">
          <w:pPr>
            <w:pStyle w:val="20"/>
            <w:tabs>
              <w:tab w:val="left" w:pos="960"/>
              <w:tab w:val="right" w:leader="dot" w:pos="8494"/>
            </w:tabs>
            <w:spacing w:after="120"/>
            <w:ind w:left="221"/>
            <w:rPr>
              <w:rFonts w:ascii="Aptos Light" w:eastAsiaTheme="minorEastAsia" w:hAnsi="Aptos Light"/>
              <w:noProof/>
              <w:kern w:val="2"/>
              <w:sz w:val="24"/>
              <w:szCs w:val="24"/>
              <w:lang w:bidi="he-IL"/>
              <w14:ligatures w14:val="standardContextual"/>
            </w:rPr>
          </w:pPr>
          <w:hyperlink w:anchor="_Toc235457005" w:history="1">
            <w:r w:rsidRPr="00E55D71">
              <w:rPr>
                <w:rStyle w:val="-0"/>
                <w:rFonts w:ascii="Aptos Light" w:hAnsi="Aptos Light"/>
                <w:noProof/>
                <w:color w:val="auto"/>
              </w:rPr>
              <w:t>1.1</w:t>
            </w:r>
            <w:r w:rsidRPr="00E55D71">
              <w:rPr>
                <w:rFonts w:ascii="Aptos Light" w:eastAsiaTheme="minorEastAsia" w:hAnsi="Aptos Light"/>
                <w:noProof/>
                <w:kern w:val="2"/>
                <w:sz w:val="24"/>
                <w:szCs w:val="24"/>
                <w:lang w:bidi="he-IL"/>
                <w14:ligatures w14:val="standardContextual"/>
              </w:rPr>
              <w:tab/>
            </w:r>
            <w:r w:rsidRPr="00E55D71">
              <w:rPr>
                <w:rStyle w:val="-0"/>
                <w:rFonts w:ascii="Aptos Light" w:hAnsi="Aptos Light"/>
                <w:noProof/>
                <w:color w:val="auto"/>
              </w:rPr>
              <w:t>Διαχρονική εξέλιξη του Δείκτη «Ποσοστό Ατόμων με Υπερβολική Επιβάρυνση στεγαστικού κόστους και κατάσταση αναπηρίας (Housing Cost Overburden Rate)»</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_Toc235457005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8</w:t>
            </w:r>
            <w:r w:rsidRPr="00E55D71">
              <w:rPr>
                <w:rFonts w:ascii="Aptos Light" w:hAnsi="Aptos Light"/>
                <w:noProof/>
                <w:webHidden/>
              </w:rPr>
              <w:fldChar w:fldCharType="end"/>
            </w:r>
          </w:hyperlink>
        </w:p>
        <w:p w14:paraId="6E99F68A" w14:textId="6EEEBA21" w:rsidR="00A62D5B" w:rsidRPr="00E55D71" w:rsidRDefault="00A62D5B" w:rsidP="00A62D5B">
          <w:pPr>
            <w:pStyle w:val="20"/>
            <w:tabs>
              <w:tab w:val="left" w:pos="960"/>
              <w:tab w:val="right" w:leader="dot" w:pos="8494"/>
            </w:tabs>
            <w:spacing w:after="120"/>
            <w:ind w:left="221"/>
            <w:rPr>
              <w:rFonts w:ascii="Aptos Light" w:eastAsiaTheme="minorEastAsia" w:hAnsi="Aptos Light"/>
              <w:noProof/>
              <w:kern w:val="2"/>
              <w:sz w:val="24"/>
              <w:szCs w:val="24"/>
              <w:lang w:bidi="he-IL"/>
              <w14:ligatures w14:val="standardContextual"/>
            </w:rPr>
          </w:pPr>
          <w:hyperlink w:anchor="_Toc235457006" w:history="1">
            <w:r w:rsidRPr="00E55D71">
              <w:rPr>
                <w:rStyle w:val="-0"/>
                <w:rFonts w:ascii="Aptos Light" w:hAnsi="Aptos Light"/>
                <w:noProof/>
                <w:color w:val="auto"/>
              </w:rPr>
              <w:t>1.2</w:t>
            </w:r>
            <w:r w:rsidRPr="00E55D71">
              <w:rPr>
                <w:rFonts w:ascii="Aptos Light" w:eastAsiaTheme="minorEastAsia" w:hAnsi="Aptos Light"/>
                <w:noProof/>
                <w:kern w:val="2"/>
                <w:sz w:val="24"/>
                <w:szCs w:val="24"/>
                <w:lang w:bidi="he-IL"/>
                <w14:ligatures w14:val="standardContextual"/>
              </w:rPr>
              <w:tab/>
            </w:r>
            <w:r w:rsidRPr="00E55D71">
              <w:rPr>
                <w:rStyle w:val="-0"/>
                <w:rFonts w:ascii="Aptos Light" w:hAnsi="Aptos Light"/>
                <w:noProof/>
                <w:color w:val="auto"/>
              </w:rPr>
              <w:t xml:space="preserve">Η θέση της Ελλάδας στην ΕΕ των 27 στον Δείκτη «Ποσοστό ατόμων με </w:t>
            </w:r>
            <w:r w:rsidRPr="00E55D71">
              <w:rPr>
                <w:rStyle w:val="-0"/>
                <w:rFonts w:ascii="Aptos Light" w:hAnsi="Aptos Light"/>
                <w:noProof/>
                <w:color w:val="auto"/>
              </w:rPr>
              <w:br/>
              <w:t>αναπηρία (16+ ετών) και υπερβολική επιβάρυνση από το κόστος στέγασης»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_Toc235457006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9</w:t>
            </w:r>
            <w:r w:rsidRPr="00E55D71">
              <w:rPr>
                <w:rFonts w:ascii="Aptos Light" w:hAnsi="Aptos Light"/>
                <w:noProof/>
                <w:webHidden/>
              </w:rPr>
              <w:fldChar w:fldCharType="end"/>
            </w:r>
          </w:hyperlink>
        </w:p>
        <w:p w14:paraId="239400F3" w14:textId="5ED0D6CA" w:rsidR="00A62D5B" w:rsidRPr="00E55D71" w:rsidRDefault="00A62D5B">
          <w:pPr>
            <w:pStyle w:val="20"/>
            <w:tabs>
              <w:tab w:val="left" w:pos="960"/>
              <w:tab w:val="right" w:leader="dot" w:pos="8494"/>
            </w:tabs>
            <w:rPr>
              <w:rFonts w:ascii="Aptos Light" w:eastAsiaTheme="minorEastAsia" w:hAnsi="Aptos Light"/>
              <w:noProof/>
              <w:kern w:val="2"/>
              <w:sz w:val="24"/>
              <w:szCs w:val="24"/>
              <w:lang w:bidi="he-IL"/>
              <w14:ligatures w14:val="standardContextual"/>
            </w:rPr>
          </w:pPr>
          <w:hyperlink w:anchor="_Toc235457007" w:history="1">
            <w:r w:rsidRPr="00E55D71">
              <w:rPr>
                <w:rStyle w:val="-0"/>
                <w:rFonts w:ascii="Aptos Light" w:hAnsi="Aptos Light"/>
                <w:noProof/>
                <w:color w:val="auto"/>
              </w:rPr>
              <w:t>1.3</w:t>
            </w:r>
            <w:r w:rsidRPr="00E55D71">
              <w:rPr>
                <w:rFonts w:ascii="Aptos Light" w:eastAsiaTheme="minorEastAsia" w:hAnsi="Aptos Light"/>
                <w:noProof/>
                <w:kern w:val="2"/>
                <w:sz w:val="24"/>
                <w:szCs w:val="24"/>
                <w:lang w:bidi="he-IL"/>
                <w14:ligatures w14:val="standardContextual"/>
              </w:rPr>
              <w:tab/>
            </w:r>
            <w:r w:rsidRPr="00E55D71">
              <w:rPr>
                <w:rStyle w:val="-0"/>
                <w:rFonts w:ascii="Aptos Light" w:hAnsi="Aptos Light"/>
                <w:noProof/>
                <w:color w:val="auto"/>
              </w:rPr>
              <w:t>Δυσκολίες &amp; καθυστερήσεις στην πληρωμή των στεγαστικών δαπανών</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_Toc235457007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11</w:t>
            </w:r>
            <w:r w:rsidRPr="00E55D71">
              <w:rPr>
                <w:rFonts w:ascii="Aptos Light" w:hAnsi="Aptos Light"/>
                <w:noProof/>
                <w:webHidden/>
              </w:rPr>
              <w:fldChar w:fldCharType="end"/>
            </w:r>
          </w:hyperlink>
        </w:p>
        <w:p w14:paraId="7FF524A5" w14:textId="2B9756A3" w:rsidR="00A62D5B" w:rsidRPr="00E55D71" w:rsidRDefault="00A62D5B" w:rsidP="00A62D5B">
          <w:pPr>
            <w:pStyle w:val="11"/>
            <w:spacing w:before="240" w:after="240"/>
            <w:ind w:left="425" w:hanging="425"/>
            <w:rPr>
              <w:rFonts w:ascii="Aptos Light" w:eastAsiaTheme="minorEastAsia" w:hAnsi="Aptos Light"/>
              <w:noProof/>
              <w:kern w:val="2"/>
              <w:sz w:val="24"/>
              <w:szCs w:val="24"/>
              <w:lang w:bidi="he-IL"/>
              <w14:ligatures w14:val="standardContextual"/>
            </w:rPr>
          </w:pPr>
          <w:hyperlink w:anchor="_Toc235457008" w:history="1">
            <w:r w:rsidRPr="00E55D71">
              <w:rPr>
                <w:rStyle w:val="-0"/>
                <w:rFonts w:ascii="Aptos Light" w:hAnsi="Aptos Light"/>
                <w:b/>
                <w:bCs/>
                <w:noProof/>
                <w:color w:val="auto"/>
              </w:rPr>
              <w:t>2</w:t>
            </w:r>
            <w:r w:rsidRPr="00E55D71">
              <w:rPr>
                <w:rFonts w:ascii="Aptos Light" w:eastAsiaTheme="minorEastAsia" w:hAnsi="Aptos Light"/>
                <w:noProof/>
                <w:kern w:val="2"/>
                <w:sz w:val="24"/>
                <w:szCs w:val="24"/>
                <w:lang w:bidi="he-IL"/>
                <w14:ligatures w14:val="standardContextual"/>
              </w:rPr>
              <w:tab/>
            </w:r>
            <w:r w:rsidRPr="00E55D71">
              <w:rPr>
                <w:rStyle w:val="-0"/>
                <w:rFonts w:ascii="Aptos Light" w:hAnsi="Aptos Light"/>
                <w:b/>
                <w:bCs/>
                <w:noProof/>
                <w:color w:val="auto"/>
              </w:rPr>
              <w:t>Ο σύνθετος δείκτης της Eurostat «Ποσοστό ατόμων με ληξιπρόθεσμες οφειλές»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_Toc235457008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14</w:t>
            </w:r>
            <w:r w:rsidRPr="00E55D71">
              <w:rPr>
                <w:rFonts w:ascii="Aptos Light" w:hAnsi="Aptos Light"/>
                <w:noProof/>
                <w:webHidden/>
              </w:rPr>
              <w:fldChar w:fldCharType="end"/>
            </w:r>
          </w:hyperlink>
        </w:p>
        <w:p w14:paraId="7A8BBAE2" w14:textId="1CF8CCD5" w:rsidR="00A62D5B" w:rsidRPr="00E55D71" w:rsidRDefault="00A62D5B" w:rsidP="00A62D5B">
          <w:pPr>
            <w:pStyle w:val="11"/>
            <w:spacing w:after="240"/>
            <w:ind w:left="425" w:hanging="425"/>
            <w:rPr>
              <w:rFonts w:ascii="Aptos Light" w:eastAsiaTheme="minorEastAsia" w:hAnsi="Aptos Light"/>
              <w:noProof/>
              <w:kern w:val="2"/>
              <w:sz w:val="24"/>
              <w:szCs w:val="24"/>
              <w:lang w:bidi="he-IL"/>
              <w14:ligatures w14:val="standardContextual"/>
            </w:rPr>
          </w:pPr>
          <w:hyperlink w:anchor="_Toc235457009" w:history="1">
            <w:r w:rsidRPr="00E55D71">
              <w:rPr>
                <w:rStyle w:val="-0"/>
                <w:rFonts w:ascii="Aptos Light" w:hAnsi="Aptos Light"/>
                <w:b/>
                <w:bCs/>
                <w:noProof/>
                <w:color w:val="auto"/>
              </w:rPr>
              <w:t>3</w:t>
            </w:r>
            <w:r w:rsidRPr="00E55D71">
              <w:rPr>
                <w:rFonts w:ascii="Aptos Light" w:eastAsiaTheme="minorEastAsia" w:hAnsi="Aptos Light"/>
                <w:noProof/>
                <w:kern w:val="2"/>
                <w:sz w:val="24"/>
                <w:szCs w:val="24"/>
                <w:lang w:bidi="he-IL"/>
                <w14:ligatures w14:val="standardContextual"/>
              </w:rPr>
              <w:tab/>
            </w:r>
            <w:r w:rsidRPr="00E55D71">
              <w:rPr>
                <w:rStyle w:val="-0"/>
                <w:rFonts w:ascii="Aptos Light" w:hAnsi="Aptos Light"/>
                <w:b/>
                <w:bCs/>
                <w:noProof/>
                <w:color w:val="auto"/>
              </w:rPr>
              <w:t>Δυνατότητα για ικανοποιητική θέρμανση και ενεργειακή αναβάθμιση κατοικίας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_Toc235457009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16</w:t>
            </w:r>
            <w:r w:rsidRPr="00E55D71">
              <w:rPr>
                <w:rFonts w:ascii="Aptos Light" w:hAnsi="Aptos Light"/>
                <w:noProof/>
                <w:webHidden/>
              </w:rPr>
              <w:fldChar w:fldCharType="end"/>
            </w:r>
          </w:hyperlink>
        </w:p>
        <w:p w14:paraId="5D8D7480" w14:textId="3CC26A1C" w:rsidR="00A62D5B" w:rsidRPr="00E55D71" w:rsidRDefault="00A62D5B">
          <w:pPr>
            <w:pStyle w:val="11"/>
            <w:rPr>
              <w:rFonts w:eastAsiaTheme="minorEastAsia"/>
              <w:noProof/>
              <w:kern w:val="2"/>
              <w:sz w:val="24"/>
              <w:szCs w:val="24"/>
              <w:lang w:bidi="he-IL"/>
              <w14:ligatures w14:val="standardContextual"/>
            </w:rPr>
          </w:pPr>
          <w:hyperlink w:anchor="_Toc235457010" w:history="1">
            <w:r w:rsidRPr="00E55D71">
              <w:rPr>
                <w:rStyle w:val="-0"/>
                <w:rFonts w:ascii="Aptos Light" w:hAnsi="Aptos Light"/>
                <w:b/>
                <w:bCs/>
                <w:noProof/>
                <w:color w:val="auto"/>
              </w:rPr>
              <w:t>4</w:t>
            </w:r>
            <w:r w:rsidRPr="00E55D71">
              <w:rPr>
                <w:rFonts w:ascii="Aptos Light" w:eastAsiaTheme="minorEastAsia" w:hAnsi="Aptos Light"/>
                <w:noProof/>
                <w:kern w:val="2"/>
                <w:sz w:val="24"/>
                <w:szCs w:val="24"/>
                <w:lang w:bidi="he-IL"/>
                <w14:ligatures w14:val="standardContextual"/>
              </w:rPr>
              <w:tab/>
            </w:r>
            <w:r w:rsidRPr="00E55D71">
              <w:rPr>
                <w:rStyle w:val="-0"/>
                <w:rFonts w:ascii="Aptos Light" w:hAnsi="Aptos Light"/>
                <w:b/>
                <w:bCs/>
                <w:noProof/>
                <w:color w:val="auto"/>
              </w:rPr>
              <w:t>Προσβασιμότητα Κατοικίας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_Toc235457010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19</w:t>
            </w:r>
            <w:r w:rsidRPr="00E55D71">
              <w:rPr>
                <w:rFonts w:ascii="Aptos Light" w:hAnsi="Aptos Light"/>
                <w:noProof/>
                <w:webHidden/>
              </w:rPr>
              <w:fldChar w:fldCharType="end"/>
            </w:r>
          </w:hyperlink>
        </w:p>
        <w:p w14:paraId="20733BC2" w14:textId="16BB2AD8" w:rsidR="00C761A3" w:rsidRDefault="00C761A3">
          <w:r>
            <w:rPr>
              <w:b/>
              <w:bCs/>
              <w:lang w:val="el-GR"/>
            </w:rPr>
            <w:fldChar w:fldCharType="end"/>
          </w:r>
        </w:p>
      </w:sdtContent>
    </w:sdt>
    <w:p w14:paraId="2A4ACE28" w14:textId="52B3EF85" w:rsidR="007E7C70" w:rsidRPr="007E1E34" w:rsidRDefault="007E7C70" w:rsidP="007E7C70">
      <w:pPr>
        <w:spacing w:before="240"/>
        <w:jc w:val="center"/>
        <w:rPr>
          <w:rFonts w:asciiTheme="majorHAnsi" w:eastAsiaTheme="majorEastAsia" w:hAnsiTheme="majorHAnsi" w:cstheme="majorBidi"/>
          <w:b/>
          <w:bCs/>
          <w:sz w:val="28"/>
          <w:szCs w:val="28"/>
          <w:u w:val="single"/>
          <w:lang w:val="el-GR" w:eastAsia="de-DE"/>
        </w:rPr>
      </w:pPr>
      <w:r>
        <w:rPr>
          <w:rFonts w:asciiTheme="majorHAnsi" w:eastAsiaTheme="majorEastAsia" w:hAnsiTheme="majorHAnsi" w:cstheme="majorBidi"/>
          <w:b/>
          <w:bCs/>
          <w:sz w:val="28"/>
          <w:szCs w:val="28"/>
          <w:u w:val="single"/>
          <w:lang w:val="el-GR" w:eastAsia="de-DE"/>
        </w:rPr>
        <w:t>Γραφήματα</w:t>
      </w:r>
    </w:p>
    <w:p w14:paraId="36E0ACE4" w14:textId="18A7B68D" w:rsidR="00A62D5B" w:rsidRPr="00E55D71" w:rsidRDefault="007E7C70" w:rsidP="00A62D5B">
      <w:pPr>
        <w:pStyle w:val="af0"/>
        <w:tabs>
          <w:tab w:val="right" w:leader="dot" w:pos="8494"/>
        </w:tabs>
        <w:spacing w:after="120"/>
        <w:rPr>
          <w:rFonts w:ascii="Aptos Light" w:eastAsiaTheme="minorEastAsia" w:hAnsi="Aptos Light"/>
          <w:noProof/>
          <w:kern w:val="2"/>
          <w:sz w:val="24"/>
          <w:szCs w:val="24"/>
          <w:lang w:bidi="he-IL"/>
          <w14:ligatures w14:val="standardContextual"/>
        </w:rPr>
      </w:pPr>
      <w:r w:rsidRPr="00412692">
        <w:rPr>
          <w:rFonts w:asciiTheme="majorHAnsi" w:eastAsiaTheme="majorEastAsia" w:hAnsiTheme="majorHAnsi" w:cstheme="majorBidi"/>
          <w:b/>
          <w:bCs/>
          <w:sz w:val="28"/>
          <w:szCs w:val="28"/>
          <w:u w:val="single"/>
          <w:lang w:val="el-GR" w:eastAsia="de-DE"/>
        </w:rPr>
        <w:fldChar w:fldCharType="begin"/>
      </w:r>
      <w:r w:rsidRPr="00412692">
        <w:rPr>
          <w:rFonts w:asciiTheme="majorHAnsi" w:eastAsiaTheme="majorEastAsia" w:hAnsiTheme="majorHAnsi" w:cstheme="majorBidi"/>
          <w:b/>
          <w:bCs/>
          <w:sz w:val="28"/>
          <w:szCs w:val="28"/>
          <w:u w:val="single"/>
          <w:lang w:val="el-GR" w:eastAsia="de-DE"/>
        </w:rPr>
        <w:instrText xml:space="preserve"> TOC \h \z \c "Γράφημα" </w:instrText>
      </w:r>
      <w:r w:rsidRPr="00412692">
        <w:rPr>
          <w:rFonts w:asciiTheme="majorHAnsi" w:eastAsiaTheme="majorEastAsia" w:hAnsiTheme="majorHAnsi" w:cstheme="majorBidi"/>
          <w:b/>
          <w:bCs/>
          <w:sz w:val="28"/>
          <w:szCs w:val="28"/>
          <w:u w:val="single"/>
          <w:lang w:val="el-GR" w:eastAsia="de-DE"/>
        </w:rPr>
        <w:fldChar w:fldCharType="separate"/>
      </w:r>
      <w:hyperlink w:anchor="_Toc235457011" w:history="1">
        <w:r w:rsidR="00A62D5B" w:rsidRPr="00E55D71">
          <w:rPr>
            <w:rStyle w:val="-0"/>
            <w:rFonts w:ascii="Aptos Light" w:hAnsi="Aptos Light" w:cstheme="majorHAnsi"/>
            <w:b/>
            <w:bCs/>
            <w:noProof/>
            <w:color w:val="auto"/>
            <w:lang w:val="el-GR"/>
          </w:rPr>
          <w:t>Γράφημα 1</w:t>
        </w:r>
        <w:r w:rsidR="00A62D5B" w:rsidRPr="00E55D71">
          <w:rPr>
            <w:rStyle w:val="-0"/>
            <w:rFonts w:ascii="Aptos Light" w:hAnsi="Aptos Light" w:cstheme="majorHAnsi"/>
            <w:noProof/>
            <w:color w:val="auto"/>
            <w:lang w:val="el-GR"/>
          </w:rPr>
          <w:t>. Ποσοστό ατόμων (16+ ετών) με υπερβολική επιβάρυνση από το κόστος στέγασης και κατάσταση αναπηρίας</w:t>
        </w:r>
        <w:r w:rsidR="00A62D5B" w:rsidRPr="00E55D71">
          <w:rPr>
            <w:rFonts w:ascii="Aptos Light" w:hAnsi="Aptos Light"/>
            <w:noProof/>
            <w:webHidden/>
          </w:rPr>
          <w:tab/>
        </w:r>
        <w:r w:rsidR="00A62D5B" w:rsidRPr="00E55D71">
          <w:rPr>
            <w:rFonts w:ascii="Aptos Light" w:hAnsi="Aptos Light"/>
            <w:noProof/>
            <w:webHidden/>
          </w:rPr>
          <w:fldChar w:fldCharType="begin"/>
        </w:r>
        <w:r w:rsidR="00A62D5B" w:rsidRPr="00E55D71">
          <w:rPr>
            <w:rFonts w:ascii="Aptos Light" w:hAnsi="Aptos Light"/>
            <w:noProof/>
            <w:webHidden/>
          </w:rPr>
          <w:instrText xml:space="preserve"> PAGEREF _Toc235457011 \h </w:instrText>
        </w:r>
        <w:r w:rsidR="00A62D5B" w:rsidRPr="00E55D71">
          <w:rPr>
            <w:rFonts w:ascii="Aptos Light" w:hAnsi="Aptos Light"/>
            <w:noProof/>
            <w:webHidden/>
          </w:rPr>
        </w:r>
        <w:r w:rsidR="00A62D5B" w:rsidRPr="00E55D71">
          <w:rPr>
            <w:rFonts w:ascii="Aptos Light" w:hAnsi="Aptos Light"/>
            <w:noProof/>
            <w:webHidden/>
          </w:rPr>
          <w:fldChar w:fldCharType="separate"/>
        </w:r>
        <w:r w:rsidR="00A62D5B" w:rsidRPr="00E55D71">
          <w:rPr>
            <w:rFonts w:ascii="Aptos Light" w:hAnsi="Aptos Light"/>
            <w:noProof/>
            <w:webHidden/>
          </w:rPr>
          <w:t>8</w:t>
        </w:r>
        <w:r w:rsidR="00A62D5B" w:rsidRPr="00E55D71">
          <w:rPr>
            <w:rFonts w:ascii="Aptos Light" w:hAnsi="Aptos Light"/>
            <w:noProof/>
            <w:webHidden/>
          </w:rPr>
          <w:fldChar w:fldCharType="end"/>
        </w:r>
      </w:hyperlink>
    </w:p>
    <w:p w14:paraId="645568B0" w14:textId="73574A4D" w:rsidR="00A62D5B" w:rsidRPr="00E55D71" w:rsidRDefault="00A62D5B" w:rsidP="00A62D5B">
      <w:pPr>
        <w:pStyle w:val="af0"/>
        <w:tabs>
          <w:tab w:val="right" w:leader="dot" w:pos="8494"/>
        </w:tabs>
        <w:spacing w:after="120"/>
        <w:rPr>
          <w:rFonts w:ascii="Aptos Light" w:eastAsiaTheme="minorEastAsia" w:hAnsi="Aptos Light"/>
          <w:noProof/>
          <w:kern w:val="2"/>
          <w:sz w:val="24"/>
          <w:szCs w:val="24"/>
          <w:lang w:bidi="he-IL"/>
          <w14:ligatures w14:val="standardContextual"/>
        </w:rPr>
      </w:pPr>
      <w:hyperlink w:anchor="_Toc235457012" w:history="1">
        <w:r w:rsidRPr="00E55D71">
          <w:rPr>
            <w:rStyle w:val="-0"/>
            <w:rFonts w:ascii="Aptos Light" w:hAnsi="Aptos Light" w:cstheme="majorHAnsi"/>
            <w:b/>
            <w:bCs/>
            <w:noProof/>
            <w:color w:val="auto"/>
            <w:lang w:val="el-GR"/>
          </w:rPr>
          <w:t>Γράφημα 2</w:t>
        </w:r>
        <w:r w:rsidRPr="00E55D71">
          <w:rPr>
            <w:rStyle w:val="-0"/>
            <w:rFonts w:ascii="Aptos Light" w:hAnsi="Aptos Light" w:cstheme="majorHAnsi"/>
            <w:noProof/>
            <w:color w:val="auto"/>
            <w:lang w:val="el-GR"/>
          </w:rPr>
          <w:t>. Ποσοστό ατόμων με αναπηρία (16+ ετών) και υπερβολική επιβάρυνση στεγαστικού κόστους στην ΕΕ</w:t>
        </w:r>
        <w:r w:rsidRPr="00E55D71">
          <w:rPr>
            <w:rStyle w:val="-0"/>
            <w:rFonts w:ascii="Aptos Light" w:hAnsi="Aptos Light" w:cstheme="majorHAnsi"/>
            <w:noProof/>
            <w:color w:val="auto"/>
          </w:rPr>
          <w:t>-</w:t>
        </w:r>
        <w:r w:rsidRPr="00E55D71">
          <w:rPr>
            <w:rStyle w:val="-0"/>
            <w:rFonts w:ascii="Aptos Light" w:hAnsi="Aptos Light" w:cstheme="majorHAnsi"/>
            <w:noProof/>
            <w:color w:val="auto"/>
            <w:lang w:val="el-GR"/>
          </w:rPr>
          <w:t>27</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_Toc235457012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10</w:t>
        </w:r>
        <w:r w:rsidRPr="00E55D71">
          <w:rPr>
            <w:rFonts w:ascii="Aptos Light" w:hAnsi="Aptos Light"/>
            <w:noProof/>
            <w:webHidden/>
          </w:rPr>
          <w:fldChar w:fldCharType="end"/>
        </w:r>
      </w:hyperlink>
    </w:p>
    <w:p w14:paraId="3B9E1B2E" w14:textId="5C966997" w:rsidR="00A62D5B" w:rsidRPr="00E55D71" w:rsidRDefault="00A62D5B" w:rsidP="00A62D5B">
      <w:pPr>
        <w:pStyle w:val="af0"/>
        <w:tabs>
          <w:tab w:val="right" w:leader="dot" w:pos="8494"/>
        </w:tabs>
        <w:spacing w:after="120"/>
        <w:rPr>
          <w:rFonts w:ascii="Aptos Light" w:eastAsiaTheme="minorEastAsia" w:hAnsi="Aptos Light"/>
          <w:noProof/>
          <w:kern w:val="2"/>
          <w:sz w:val="24"/>
          <w:szCs w:val="24"/>
          <w:lang w:bidi="he-IL"/>
          <w14:ligatures w14:val="standardContextual"/>
        </w:rPr>
      </w:pPr>
      <w:hyperlink w:anchor="_Toc235457013" w:history="1">
        <w:r w:rsidRPr="00E55D71">
          <w:rPr>
            <w:rStyle w:val="-0"/>
            <w:rFonts w:ascii="Aptos Light" w:hAnsi="Aptos Light" w:cstheme="majorHAnsi"/>
            <w:b/>
            <w:bCs/>
            <w:noProof/>
            <w:color w:val="auto"/>
            <w:lang w:val="el-GR"/>
          </w:rPr>
          <w:t>Γράφημα 3</w:t>
        </w:r>
        <w:r w:rsidRPr="00E55D71">
          <w:rPr>
            <w:rStyle w:val="-0"/>
            <w:rFonts w:ascii="Aptos Light" w:hAnsi="Aptos Light" w:cstheme="majorHAnsi"/>
            <w:noProof/>
            <w:color w:val="auto"/>
            <w:lang w:val="el-GR"/>
          </w:rPr>
          <w:t>.</w:t>
        </w:r>
        <w:r w:rsidRPr="00E55D71">
          <w:rPr>
            <w:rStyle w:val="-0"/>
            <w:rFonts w:ascii="Aptos Light" w:hAnsi="Aptos Light"/>
            <w:noProof/>
            <w:color w:val="auto"/>
            <w:lang w:val="el-GR"/>
          </w:rPr>
          <w:t xml:space="preserve"> </w:t>
        </w:r>
        <w:r w:rsidRPr="00E55D71">
          <w:rPr>
            <w:rStyle w:val="-0"/>
            <w:rFonts w:ascii="Aptos Light" w:hAnsi="Aptos Light" w:cstheme="majorHAnsi"/>
            <w:noProof/>
            <w:color w:val="auto"/>
            <w:lang w:val="el-GR"/>
          </w:rPr>
          <w:t xml:space="preserve">Καθυστέρηση στην πληρωμή του ενοικίου ή της δόσης του στεγαστικού </w:t>
        </w:r>
        <w:r w:rsidRPr="00E55D71">
          <w:rPr>
            <w:rStyle w:val="-0"/>
            <w:rFonts w:ascii="Aptos Light" w:hAnsi="Aptos Light" w:cstheme="majorHAnsi"/>
            <w:noProof/>
            <w:color w:val="auto"/>
          </w:rPr>
          <w:br/>
        </w:r>
        <w:r w:rsidRPr="00E55D71">
          <w:rPr>
            <w:rStyle w:val="-0"/>
            <w:rFonts w:ascii="Aptos Light" w:hAnsi="Aptos Light" w:cstheme="majorHAnsi"/>
            <w:noProof/>
            <w:color w:val="auto"/>
            <w:lang w:val="el-GR"/>
          </w:rPr>
          <w:t>δανείου λόγω οικονομικής δυσκολίας (2021 &amp; 2025)</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_Toc235457013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12</w:t>
        </w:r>
        <w:r w:rsidRPr="00E55D71">
          <w:rPr>
            <w:rFonts w:ascii="Aptos Light" w:hAnsi="Aptos Light"/>
            <w:noProof/>
            <w:webHidden/>
          </w:rPr>
          <w:fldChar w:fldCharType="end"/>
        </w:r>
      </w:hyperlink>
    </w:p>
    <w:p w14:paraId="3B857520" w14:textId="1EAA454D" w:rsidR="00A62D5B" w:rsidRPr="00E55D71" w:rsidRDefault="00A62D5B" w:rsidP="00A62D5B">
      <w:pPr>
        <w:pStyle w:val="af0"/>
        <w:tabs>
          <w:tab w:val="right" w:leader="dot" w:pos="8494"/>
        </w:tabs>
        <w:spacing w:after="120"/>
        <w:rPr>
          <w:rFonts w:ascii="Aptos Light" w:eastAsiaTheme="minorEastAsia" w:hAnsi="Aptos Light"/>
          <w:noProof/>
          <w:kern w:val="2"/>
          <w:sz w:val="24"/>
          <w:szCs w:val="24"/>
          <w:lang w:bidi="he-IL"/>
          <w14:ligatures w14:val="standardContextual"/>
        </w:rPr>
      </w:pPr>
      <w:hyperlink w:anchor="_Toc235457014" w:history="1">
        <w:r w:rsidRPr="00E55D71">
          <w:rPr>
            <w:rStyle w:val="-0"/>
            <w:rFonts w:ascii="Aptos Light" w:hAnsi="Aptos Light" w:cstheme="majorHAnsi"/>
            <w:b/>
            <w:bCs/>
            <w:noProof/>
            <w:color w:val="auto"/>
            <w:lang w:val="el-GR"/>
          </w:rPr>
          <w:t>Γράφημα 4</w:t>
        </w:r>
        <w:r w:rsidRPr="00E55D71">
          <w:rPr>
            <w:rStyle w:val="-0"/>
            <w:rFonts w:ascii="Aptos Light" w:hAnsi="Aptos Light" w:cstheme="majorHAnsi"/>
            <w:noProof/>
            <w:color w:val="auto"/>
            <w:lang w:val="el-GR"/>
          </w:rPr>
          <w:t>. Καθυστέρηση στην πληρωμή των λογαριασμών κοινής ωφέλειας λόγω οικονομικής δυσκολίας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_Toc235457014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13</w:t>
        </w:r>
        <w:r w:rsidRPr="00E55D71">
          <w:rPr>
            <w:rFonts w:ascii="Aptos Light" w:hAnsi="Aptos Light"/>
            <w:noProof/>
            <w:webHidden/>
          </w:rPr>
          <w:fldChar w:fldCharType="end"/>
        </w:r>
      </w:hyperlink>
    </w:p>
    <w:p w14:paraId="09EB160F" w14:textId="115DA77D" w:rsidR="00A62D5B" w:rsidRPr="00E55D71" w:rsidRDefault="00A62D5B" w:rsidP="00A62D5B">
      <w:pPr>
        <w:pStyle w:val="af0"/>
        <w:tabs>
          <w:tab w:val="right" w:leader="dot" w:pos="8494"/>
        </w:tabs>
        <w:spacing w:after="120"/>
        <w:rPr>
          <w:rFonts w:ascii="Aptos Light" w:eastAsiaTheme="minorEastAsia" w:hAnsi="Aptos Light"/>
          <w:noProof/>
          <w:kern w:val="2"/>
          <w:sz w:val="24"/>
          <w:szCs w:val="24"/>
          <w:lang w:bidi="he-IL"/>
          <w14:ligatures w14:val="standardContextual"/>
        </w:rPr>
      </w:pPr>
      <w:hyperlink w:anchor="_Toc235457015" w:history="1">
        <w:r w:rsidRPr="00E55D71">
          <w:rPr>
            <w:rStyle w:val="-0"/>
            <w:rFonts w:ascii="Aptos Light" w:hAnsi="Aptos Light" w:cstheme="majorHAnsi"/>
            <w:b/>
            <w:bCs/>
            <w:noProof/>
            <w:color w:val="auto"/>
            <w:lang w:val="el-GR"/>
          </w:rPr>
          <w:t>Γράφημα 5</w:t>
        </w:r>
        <w:r w:rsidRPr="00E55D71">
          <w:rPr>
            <w:rStyle w:val="-0"/>
            <w:rFonts w:ascii="Aptos Light" w:hAnsi="Aptos Light" w:cstheme="majorHAnsi"/>
            <w:noProof/>
            <w:color w:val="auto"/>
            <w:lang w:val="el-GR"/>
          </w:rPr>
          <w:t xml:space="preserve">. Ποσοστό ατόμων με αναπηρία και ληξιπρόθεσμες οφειλές (στεγαστικό </w:t>
        </w:r>
        <w:r w:rsidRPr="00E55D71">
          <w:rPr>
            <w:rStyle w:val="-0"/>
            <w:rFonts w:ascii="Aptos Light" w:hAnsi="Aptos Light" w:cstheme="majorHAnsi"/>
            <w:noProof/>
            <w:color w:val="auto"/>
          </w:rPr>
          <w:br/>
        </w:r>
        <w:r w:rsidRPr="00E55D71">
          <w:rPr>
            <w:rStyle w:val="-0"/>
            <w:rFonts w:ascii="Aptos Light" w:hAnsi="Aptos Light" w:cstheme="majorHAnsi"/>
            <w:noProof/>
            <w:color w:val="auto"/>
            <w:lang w:val="el-GR"/>
          </w:rPr>
          <w:t>δάνειο ή ενοίκιο, λογαριασμοί κοινής ωφελείας ή αγορές με δόσεις)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_Toc235457015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15</w:t>
        </w:r>
        <w:r w:rsidRPr="00E55D71">
          <w:rPr>
            <w:rFonts w:ascii="Aptos Light" w:hAnsi="Aptos Light"/>
            <w:noProof/>
            <w:webHidden/>
          </w:rPr>
          <w:fldChar w:fldCharType="end"/>
        </w:r>
      </w:hyperlink>
    </w:p>
    <w:p w14:paraId="1AB9F13A" w14:textId="50EF33E3" w:rsidR="00A62D5B" w:rsidRPr="00E55D71" w:rsidRDefault="00A62D5B" w:rsidP="00A62D5B">
      <w:pPr>
        <w:pStyle w:val="af0"/>
        <w:tabs>
          <w:tab w:val="right" w:leader="dot" w:pos="8494"/>
        </w:tabs>
        <w:spacing w:after="120"/>
        <w:rPr>
          <w:rFonts w:ascii="Aptos Light" w:eastAsiaTheme="minorEastAsia" w:hAnsi="Aptos Light"/>
          <w:noProof/>
          <w:kern w:val="2"/>
          <w:sz w:val="24"/>
          <w:szCs w:val="24"/>
          <w:lang w:bidi="he-IL"/>
          <w14:ligatures w14:val="standardContextual"/>
        </w:rPr>
      </w:pPr>
      <w:hyperlink w:anchor="_Toc235457016" w:history="1">
        <w:r w:rsidRPr="00E55D71">
          <w:rPr>
            <w:rStyle w:val="-0"/>
            <w:rFonts w:ascii="Aptos Light" w:hAnsi="Aptos Light" w:cstheme="majorHAnsi"/>
            <w:b/>
            <w:bCs/>
            <w:noProof/>
            <w:color w:val="auto"/>
            <w:lang w:val="el-GR"/>
          </w:rPr>
          <w:t>Γράφημα 6</w:t>
        </w:r>
        <w:r w:rsidRPr="00E55D71">
          <w:rPr>
            <w:rStyle w:val="-0"/>
            <w:rFonts w:ascii="Aptos Light" w:hAnsi="Aptos Light" w:cstheme="majorHAnsi"/>
            <w:noProof/>
            <w:color w:val="auto"/>
            <w:lang w:val="el-GR"/>
          </w:rPr>
          <w:t xml:space="preserve">. Ποσοστό ατόμων με αναπηρία (16+) και αδυναμία ικανοποιητικής </w:t>
        </w:r>
        <w:r w:rsidRPr="00E55D71">
          <w:rPr>
            <w:rStyle w:val="-0"/>
            <w:rFonts w:ascii="Aptos Light" w:hAnsi="Aptos Light" w:cstheme="majorHAnsi"/>
            <w:noProof/>
            <w:color w:val="auto"/>
          </w:rPr>
          <w:br/>
        </w:r>
        <w:r w:rsidRPr="00E55D71">
          <w:rPr>
            <w:rStyle w:val="-0"/>
            <w:rFonts w:ascii="Aptos Light" w:hAnsi="Aptos Light" w:cstheme="majorHAnsi"/>
            <w:noProof/>
            <w:color w:val="auto"/>
            <w:lang w:val="el-GR"/>
          </w:rPr>
          <w:t>θέρμανσης του σπιτιού τους χειμερινούς μήνες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_Toc235457016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17</w:t>
        </w:r>
        <w:r w:rsidRPr="00E55D71">
          <w:rPr>
            <w:rFonts w:ascii="Aptos Light" w:hAnsi="Aptos Light"/>
            <w:noProof/>
            <w:webHidden/>
          </w:rPr>
          <w:fldChar w:fldCharType="end"/>
        </w:r>
      </w:hyperlink>
    </w:p>
    <w:p w14:paraId="6A680540" w14:textId="6F5FDFCD" w:rsidR="00A62D5B" w:rsidRPr="00E55D71" w:rsidRDefault="00A62D5B" w:rsidP="00A62D5B">
      <w:pPr>
        <w:pStyle w:val="af0"/>
        <w:tabs>
          <w:tab w:val="right" w:leader="dot" w:pos="8494"/>
        </w:tabs>
        <w:spacing w:after="120"/>
        <w:rPr>
          <w:rFonts w:ascii="Aptos Light" w:eastAsiaTheme="minorEastAsia" w:hAnsi="Aptos Light"/>
          <w:noProof/>
          <w:kern w:val="2"/>
          <w:sz w:val="24"/>
          <w:szCs w:val="24"/>
          <w:lang w:bidi="he-IL"/>
          <w14:ligatures w14:val="standardContextual"/>
        </w:rPr>
      </w:pPr>
      <w:hyperlink w:anchor="_Toc235457017" w:history="1">
        <w:r w:rsidRPr="00E55D71">
          <w:rPr>
            <w:rStyle w:val="-0"/>
            <w:rFonts w:ascii="Aptos Light" w:hAnsi="Aptos Light" w:cstheme="majorHAnsi"/>
            <w:b/>
            <w:bCs/>
            <w:noProof/>
            <w:color w:val="auto"/>
            <w:lang w:val="el-GR"/>
          </w:rPr>
          <w:t>Γράφημα 7</w:t>
        </w:r>
        <w:r w:rsidRPr="00E55D71">
          <w:rPr>
            <w:rStyle w:val="-0"/>
            <w:rFonts w:ascii="Aptos Light" w:hAnsi="Aptos Light" w:cstheme="majorHAnsi"/>
            <w:noProof/>
            <w:color w:val="auto"/>
            <w:lang w:val="el-GR"/>
          </w:rPr>
          <w:t>. Εάν έχουν προβεί σε αναγκαίες παρεμβάσεις αποκατάστασης της προσβασιμότητάς της κατοικίας</w:t>
        </w:r>
        <w:r w:rsidRPr="00E55D71">
          <w:rPr>
            <w:rFonts w:ascii="Aptos Light" w:hAnsi="Aptos Light"/>
            <w:noProof/>
            <w:webHidden/>
          </w:rPr>
          <w:tab/>
        </w:r>
        <w:r w:rsidRPr="00E55D71">
          <w:rPr>
            <w:rFonts w:ascii="Aptos Light" w:hAnsi="Aptos Light"/>
            <w:noProof/>
            <w:webHidden/>
          </w:rPr>
          <w:fldChar w:fldCharType="begin"/>
        </w:r>
        <w:r w:rsidRPr="00E55D71">
          <w:rPr>
            <w:rFonts w:ascii="Aptos Light" w:hAnsi="Aptos Light"/>
            <w:noProof/>
            <w:webHidden/>
          </w:rPr>
          <w:instrText xml:space="preserve"> PAGEREF _Toc235457017 \h </w:instrText>
        </w:r>
        <w:r w:rsidRPr="00E55D71">
          <w:rPr>
            <w:rFonts w:ascii="Aptos Light" w:hAnsi="Aptos Light"/>
            <w:noProof/>
            <w:webHidden/>
          </w:rPr>
        </w:r>
        <w:r w:rsidRPr="00E55D71">
          <w:rPr>
            <w:rFonts w:ascii="Aptos Light" w:hAnsi="Aptos Light"/>
            <w:noProof/>
            <w:webHidden/>
          </w:rPr>
          <w:fldChar w:fldCharType="separate"/>
        </w:r>
        <w:r w:rsidRPr="00E55D71">
          <w:rPr>
            <w:rFonts w:ascii="Aptos Light" w:hAnsi="Aptos Light"/>
            <w:noProof/>
            <w:webHidden/>
          </w:rPr>
          <w:t>19</w:t>
        </w:r>
        <w:r w:rsidRPr="00E55D71">
          <w:rPr>
            <w:rFonts w:ascii="Aptos Light" w:hAnsi="Aptos Light"/>
            <w:noProof/>
            <w:webHidden/>
          </w:rPr>
          <w:fldChar w:fldCharType="end"/>
        </w:r>
      </w:hyperlink>
    </w:p>
    <w:p w14:paraId="09C030BE" w14:textId="339E5785" w:rsidR="007E7C70" w:rsidRPr="007E7C70" w:rsidRDefault="007E7C70" w:rsidP="00412692">
      <w:pPr>
        <w:spacing w:after="120" w:line="240" w:lineRule="auto"/>
        <w:jc w:val="center"/>
        <w:rPr>
          <w:rFonts w:asciiTheme="majorHAnsi" w:eastAsiaTheme="majorEastAsia" w:hAnsiTheme="majorHAnsi" w:cstheme="majorBidi"/>
          <w:sz w:val="24"/>
          <w:szCs w:val="24"/>
          <w:lang w:val="el-GR" w:eastAsia="de-DE"/>
        </w:rPr>
      </w:pPr>
      <w:r w:rsidRPr="00412692">
        <w:rPr>
          <w:rFonts w:asciiTheme="majorHAnsi" w:eastAsiaTheme="majorEastAsia" w:hAnsiTheme="majorHAnsi" w:cstheme="majorBidi"/>
          <w:b/>
          <w:bCs/>
          <w:sz w:val="28"/>
          <w:szCs w:val="28"/>
          <w:u w:val="single"/>
          <w:lang w:val="el-GR" w:eastAsia="de-DE"/>
        </w:rPr>
        <w:fldChar w:fldCharType="end"/>
      </w:r>
    </w:p>
    <w:p w14:paraId="0CAA81D0" w14:textId="68F0923E" w:rsidR="007E1E34" w:rsidRPr="007E1E34" w:rsidRDefault="007E1E34" w:rsidP="007E7C70">
      <w:pPr>
        <w:spacing w:after="120" w:line="240" w:lineRule="auto"/>
        <w:ind w:left="567" w:hanging="567"/>
        <w:rPr>
          <w:rFonts w:cstheme="minorHAnsi"/>
        </w:rPr>
      </w:pPr>
      <w:r w:rsidRPr="007E1E34">
        <w:rPr>
          <w:rFonts w:cstheme="minorHAnsi"/>
        </w:rPr>
        <w:br w:type="page"/>
      </w:r>
    </w:p>
    <w:p w14:paraId="21AA760E" w14:textId="1A132516" w:rsidR="007D51AE" w:rsidRPr="00E96E30" w:rsidRDefault="00181D14" w:rsidP="007E1E34">
      <w:pPr>
        <w:pStyle w:val="10"/>
        <w:numPr>
          <w:ilvl w:val="0"/>
          <w:numId w:val="0"/>
        </w:numPr>
        <w:tabs>
          <w:tab w:val="center" w:pos="4393"/>
          <w:tab w:val="left" w:pos="7537"/>
        </w:tabs>
        <w:spacing w:before="600" w:after="240"/>
        <w:jc w:val="center"/>
        <w:rPr>
          <w:b/>
          <w:bCs/>
          <w:color w:val="000000" w:themeColor="text1"/>
          <w:u w:val="single"/>
          <w:lang w:val="el-GR"/>
        </w:rPr>
      </w:pPr>
      <w:bookmarkStart w:id="0" w:name="_Toc235457000"/>
      <w:r w:rsidRPr="00E96E30">
        <w:rPr>
          <w:b/>
          <w:bCs/>
          <w:color w:val="000000" w:themeColor="text1"/>
          <w:u w:val="single"/>
          <w:lang w:val="el-GR"/>
        </w:rPr>
        <w:t>Ε</w:t>
      </w:r>
      <w:r w:rsidR="00CE199A">
        <w:rPr>
          <w:b/>
          <w:bCs/>
          <w:color w:val="000000" w:themeColor="text1"/>
          <w:u w:val="single"/>
          <w:lang w:val="el-GR"/>
        </w:rPr>
        <w:t>ισαγωγή</w:t>
      </w:r>
      <w:bookmarkEnd w:id="0"/>
    </w:p>
    <w:p w14:paraId="6C35B91C" w14:textId="1A2AB83C" w:rsidR="0013775B" w:rsidRDefault="0013775B" w:rsidP="0013775B">
      <w:pPr>
        <w:jc w:val="both"/>
        <w:rPr>
          <w:rFonts w:ascii="Constantia" w:hAnsi="Constantia"/>
          <w:sz w:val="24"/>
          <w:szCs w:val="24"/>
          <w:lang w:val="el-GR"/>
        </w:rPr>
      </w:pPr>
      <w:bookmarkStart w:id="1" w:name="_Hlk184644538"/>
      <w:r w:rsidRPr="005C424F">
        <w:rPr>
          <w:rFonts w:ascii="Constantia" w:hAnsi="Constantia"/>
          <w:sz w:val="24"/>
          <w:szCs w:val="24"/>
          <w:lang w:val="el-GR"/>
        </w:rPr>
        <w:t>Τα τελευταία χρόνια, η στ</w:t>
      </w:r>
      <w:r>
        <w:rPr>
          <w:rFonts w:ascii="Constantia" w:hAnsi="Constantia"/>
          <w:sz w:val="24"/>
          <w:szCs w:val="24"/>
          <w:lang w:val="el-GR"/>
        </w:rPr>
        <w:t>εγαστική κρίση</w:t>
      </w:r>
      <w:r w:rsidRPr="005C424F">
        <w:rPr>
          <w:rFonts w:ascii="Constantia" w:hAnsi="Constantia"/>
          <w:sz w:val="24"/>
          <w:szCs w:val="24"/>
          <w:lang w:val="el-GR"/>
        </w:rPr>
        <w:t xml:space="preserve"> έχει αναδειχθεί σε </w:t>
      </w:r>
      <w:r>
        <w:rPr>
          <w:rFonts w:ascii="Constantia" w:hAnsi="Constantia"/>
          <w:sz w:val="24"/>
          <w:szCs w:val="24"/>
          <w:lang w:val="el-GR"/>
        </w:rPr>
        <w:t>μια από τις σημαντικότερες προκλήσεις για την κοινωνική και οικονομική βιωσιμότητα της χώρας</w:t>
      </w:r>
      <w:r w:rsidRPr="005C424F">
        <w:rPr>
          <w:rFonts w:ascii="Constantia" w:hAnsi="Constantia"/>
          <w:sz w:val="24"/>
          <w:szCs w:val="24"/>
          <w:lang w:val="el-GR"/>
        </w:rPr>
        <w:t xml:space="preserve">. </w:t>
      </w:r>
      <w:r>
        <w:rPr>
          <w:rFonts w:ascii="Constantia" w:hAnsi="Constantia"/>
          <w:sz w:val="24"/>
          <w:szCs w:val="24"/>
          <w:lang w:val="el-GR"/>
        </w:rPr>
        <w:t xml:space="preserve">Η </w:t>
      </w:r>
      <w:r w:rsidRPr="0013775B">
        <w:rPr>
          <w:rFonts w:ascii="Constantia" w:hAnsi="Constantia"/>
          <w:sz w:val="24"/>
          <w:szCs w:val="24"/>
          <w:lang w:val="el-GR"/>
        </w:rPr>
        <w:t>ραγδαία αύξηση ενοικίων και τιμών κατοικιών,</w:t>
      </w:r>
      <w:r>
        <w:rPr>
          <w:rFonts w:ascii="Constantia" w:hAnsi="Constantia"/>
          <w:sz w:val="24"/>
          <w:szCs w:val="24"/>
          <w:lang w:val="el-GR"/>
        </w:rPr>
        <w:t xml:space="preserve"> η </w:t>
      </w:r>
      <w:r w:rsidRPr="0013775B">
        <w:rPr>
          <w:rFonts w:ascii="Constantia" w:hAnsi="Constantia"/>
          <w:sz w:val="24"/>
          <w:szCs w:val="24"/>
          <w:lang w:val="el-GR"/>
        </w:rPr>
        <w:t xml:space="preserve">έλλειψη διαθέσιμων </w:t>
      </w:r>
      <w:r w:rsidR="0029188B">
        <w:rPr>
          <w:rFonts w:ascii="Constantia" w:hAnsi="Constantia"/>
          <w:sz w:val="24"/>
          <w:szCs w:val="24"/>
          <w:lang w:val="el-GR"/>
        </w:rPr>
        <w:t xml:space="preserve">ποιοτικών και προσιτών </w:t>
      </w:r>
      <w:r w:rsidRPr="0013775B">
        <w:rPr>
          <w:rFonts w:ascii="Constantia" w:hAnsi="Constantia"/>
          <w:sz w:val="24"/>
          <w:szCs w:val="24"/>
          <w:lang w:val="el-GR"/>
        </w:rPr>
        <w:t>κατοικιών</w:t>
      </w:r>
      <w:r w:rsidR="0029188B">
        <w:rPr>
          <w:rFonts w:ascii="Constantia" w:hAnsi="Constantia"/>
          <w:sz w:val="24"/>
          <w:szCs w:val="24"/>
          <w:lang w:val="el-GR"/>
        </w:rPr>
        <w:t xml:space="preserve">, </w:t>
      </w:r>
      <w:r>
        <w:rPr>
          <w:rFonts w:ascii="Constantia" w:hAnsi="Constantia"/>
          <w:sz w:val="24"/>
          <w:szCs w:val="24"/>
          <w:lang w:val="el-GR"/>
        </w:rPr>
        <w:t xml:space="preserve">η αυξανόμενη </w:t>
      </w:r>
      <w:r w:rsidRPr="0013775B">
        <w:rPr>
          <w:rFonts w:ascii="Constantia" w:hAnsi="Constantia"/>
          <w:sz w:val="24"/>
          <w:szCs w:val="24"/>
          <w:lang w:val="el-GR"/>
        </w:rPr>
        <w:t>δυσκολία πρόσβασης των νέων και των χαμηλών εισοδημάτων σε στέγη,</w:t>
      </w:r>
      <w:r>
        <w:rPr>
          <w:rFonts w:ascii="Constantia" w:hAnsi="Constantia"/>
          <w:sz w:val="24"/>
          <w:szCs w:val="24"/>
          <w:lang w:val="el-GR"/>
        </w:rPr>
        <w:t xml:space="preserve"> οι </w:t>
      </w:r>
      <w:r w:rsidRPr="0013775B">
        <w:rPr>
          <w:rFonts w:ascii="Constantia" w:hAnsi="Constantia"/>
          <w:sz w:val="24"/>
          <w:szCs w:val="24"/>
          <w:lang w:val="el-GR"/>
        </w:rPr>
        <w:t xml:space="preserve">πιέσεις </w:t>
      </w:r>
      <w:r>
        <w:rPr>
          <w:rFonts w:ascii="Constantia" w:hAnsi="Constantia"/>
          <w:sz w:val="24"/>
          <w:szCs w:val="24"/>
          <w:lang w:val="el-GR"/>
        </w:rPr>
        <w:t xml:space="preserve">που δέχεται η αγορά ακινήτων </w:t>
      </w:r>
      <w:r w:rsidRPr="0013775B">
        <w:rPr>
          <w:rFonts w:ascii="Constantia" w:hAnsi="Constantia"/>
          <w:sz w:val="24"/>
          <w:szCs w:val="24"/>
          <w:lang w:val="el-GR"/>
        </w:rPr>
        <w:t xml:space="preserve">από </w:t>
      </w:r>
      <w:r>
        <w:rPr>
          <w:rFonts w:ascii="Constantia" w:hAnsi="Constantia"/>
          <w:sz w:val="24"/>
          <w:szCs w:val="24"/>
          <w:lang w:val="el-GR"/>
        </w:rPr>
        <w:t xml:space="preserve">την </w:t>
      </w:r>
      <w:r w:rsidRPr="0013775B">
        <w:rPr>
          <w:rFonts w:ascii="Constantia" w:hAnsi="Constantia"/>
          <w:sz w:val="24"/>
          <w:szCs w:val="24"/>
          <w:lang w:val="el-GR"/>
        </w:rPr>
        <w:t>τουριστική εκμετάλλευση</w:t>
      </w:r>
      <w:r>
        <w:rPr>
          <w:rFonts w:ascii="Constantia" w:hAnsi="Constantia"/>
          <w:sz w:val="24"/>
          <w:szCs w:val="24"/>
          <w:lang w:val="el-GR"/>
        </w:rPr>
        <w:t>, αποτελούν κάποιους από τους παράγοντες που έχουν συμβάλλει στο φαινόμενο της γενικευμένης στεγαστικής επισφάλειας.</w:t>
      </w:r>
    </w:p>
    <w:p w14:paraId="43527AD7" w14:textId="09585D16" w:rsidR="0013775B" w:rsidRPr="005C424F" w:rsidRDefault="0013775B" w:rsidP="0013775B">
      <w:pPr>
        <w:jc w:val="both"/>
        <w:rPr>
          <w:rFonts w:ascii="Constantia" w:hAnsi="Constantia"/>
          <w:sz w:val="24"/>
          <w:szCs w:val="24"/>
          <w:lang w:val="el-GR"/>
        </w:rPr>
      </w:pPr>
      <w:r w:rsidRPr="005C424F">
        <w:rPr>
          <w:rFonts w:ascii="Constantia" w:hAnsi="Constantia"/>
          <w:sz w:val="24"/>
          <w:szCs w:val="24"/>
          <w:lang w:val="el-GR"/>
        </w:rPr>
        <w:t xml:space="preserve">Η παρατεταμένη αύξηση του κόστους </w:t>
      </w:r>
      <w:r>
        <w:rPr>
          <w:rFonts w:ascii="Constantia" w:hAnsi="Constantia"/>
          <w:sz w:val="24"/>
          <w:szCs w:val="24"/>
          <w:lang w:val="el-GR"/>
        </w:rPr>
        <w:t>της στέγασης</w:t>
      </w:r>
      <w:r w:rsidRPr="005C424F">
        <w:rPr>
          <w:rFonts w:ascii="Constantia" w:hAnsi="Constantia"/>
          <w:sz w:val="24"/>
          <w:szCs w:val="24"/>
          <w:lang w:val="el-GR"/>
        </w:rPr>
        <w:t>, σε συνδυασμό με τη</w:t>
      </w:r>
      <w:r>
        <w:rPr>
          <w:rFonts w:ascii="Constantia" w:hAnsi="Constantia"/>
          <w:sz w:val="24"/>
          <w:szCs w:val="24"/>
          <w:lang w:val="el-GR"/>
        </w:rPr>
        <w:t xml:space="preserve"> εκτόξευση των τιμών της ενέργειας καθώς και </w:t>
      </w:r>
      <w:r w:rsidRPr="005C424F">
        <w:rPr>
          <w:rFonts w:ascii="Constantia" w:hAnsi="Constantia"/>
          <w:sz w:val="24"/>
          <w:szCs w:val="24"/>
          <w:lang w:val="el-GR"/>
        </w:rPr>
        <w:t xml:space="preserve">του </w:t>
      </w:r>
      <w:r>
        <w:rPr>
          <w:rFonts w:ascii="Constantia" w:hAnsi="Constantia"/>
          <w:sz w:val="24"/>
          <w:szCs w:val="24"/>
          <w:lang w:val="el-GR"/>
        </w:rPr>
        <w:t xml:space="preserve">γενικού </w:t>
      </w:r>
      <w:r w:rsidRPr="005C424F">
        <w:rPr>
          <w:rFonts w:ascii="Constantia" w:hAnsi="Constantia"/>
          <w:sz w:val="24"/>
          <w:szCs w:val="24"/>
          <w:lang w:val="el-GR"/>
        </w:rPr>
        <w:t xml:space="preserve">κόστους ζωής, έχει επιβαρύνει </w:t>
      </w:r>
      <w:r>
        <w:rPr>
          <w:rFonts w:ascii="Constantia" w:hAnsi="Constantia"/>
          <w:sz w:val="24"/>
          <w:szCs w:val="24"/>
          <w:lang w:val="el-GR"/>
        </w:rPr>
        <w:t>σοβαρά</w:t>
      </w:r>
      <w:r w:rsidRPr="005C424F">
        <w:rPr>
          <w:rFonts w:ascii="Constantia" w:hAnsi="Constantia"/>
          <w:sz w:val="24"/>
          <w:szCs w:val="24"/>
          <w:lang w:val="el-GR"/>
        </w:rPr>
        <w:t xml:space="preserve"> τα ελληνικά νοικοκυριά. </w:t>
      </w:r>
    </w:p>
    <w:p w14:paraId="0DE5A26B" w14:textId="7D9FD6C1" w:rsidR="00B621CA" w:rsidRDefault="0013775B" w:rsidP="0013775B">
      <w:pPr>
        <w:jc w:val="both"/>
        <w:rPr>
          <w:rFonts w:ascii="Constantia" w:hAnsi="Constantia"/>
          <w:sz w:val="24"/>
          <w:szCs w:val="24"/>
          <w:lang w:val="el-GR"/>
        </w:rPr>
      </w:pPr>
      <w:r>
        <w:rPr>
          <w:rFonts w:ascii="Constantia" w:hAnsi="Constantia"/>
          <w:sz w:val="24"/>
          <w:szCs w:val="24"/>
          <w:lang w:val="el-GR"/>
        </w:rPr>
        <w:t>Αυτές οι πιέσεις</w:t>
      </w:r>
      <w:r w:rsidRPr="005C424F">
        <w:rPr>
          <w:rFonts w:ascii="Constantia" w:hAnsi="Constantia"/>
          <w:sz w:val="24"/>
          <w:szCs w:val="24"/>
          <w:lang w:val="el-GR"/>
        </w:rPr>
        <w:t xml:space="preserve"> δεν κατανέμ</w:t>
      </w:r>
      <w:r>
        <w:rPr>
          <w:rFonts w:ascii="Constantia" w:hAnsi="Constantia"/>
          <w:sz w:val="24"/>
          <w:szCs w:val="24"/>
          <w:lang w:val="el-GR"/>
        </w:rPr>
        <w:t>ονται</w:t>
      </w:r>
      <w:r w:rsidRPr="005C424F">
        <w:rPr>
          <w:rFonts w:ascii="Constantia" w:hAnsi="Constantia"/>
          <w:sz w:val="24"/>
          <w:szCs w:val="24"/>
          <w:lang w:val="el-GR"/>
        </w:rPr>
        <w:t xml:space="preserve"> ομοιόμορφα στον πληθυσμό, </w:t>
      </w:r>
      <w:r>
        <w:rPr>
          <w:rFonts w:ascii="Constantia" w:hAnsi="Constantia"/>
          <w:sz w:val="24"/>
          <w:szCs w:val="24"/>
          <w:lang w:val="el-GR"/>
        </w:rPr>
        <w:t>καθώς επηρεάζουν</w:t>
      </w:r>
      <w:r w:rsidRPr="005C424F">
        <w:rPr>
          <w:rFonts w:ascii="Constantia" w:hAnsi="Constantia"/>
          <w:sz w:val="24"/>
          <w:szCs w:val="24"/>
          <w:lang w:val="el-GR"/>
        </w:rPr>
        <w:t xml:space="preserve"> δυσανάλογα τις </w:t>
      </w:r>
      <w:r>
        <w:rPr>
          <w:rFonts w:ascii="Constantia" w:hAnsi="Constantia"/>
          <w:sz w:val="24"/>
          <w:szCs w:val="24"/>
          <w:lang w:val="el-GR"/>
        </w:rPr>
        <w:t xml:space="preserve">ευάλωτες </w:t>
      </w:r>
      <w:r w:rsidRPr="005C424F">
        <w:rPr>
          <w:rFonts w:ascii="Constantia" w:hAnsi="Constantia"/>
          <w:sz w:val="24"/>
          <w:szCs w:val="24"/>
          <w:lang w:val="el-GR"/>
        </w:rPr>
        <w:t xml:space="preserve">κοινωνικές ομάδες. Τα άτομα με αναπηρία </w:t>
      </w:r>
      <w:r>
        <w:rPr>
          <w:rFonts w:ascii="Constantia" w:hAnsi="Constantia"/>
          <w:sz w:val="24"/>
          <w:szCs w:val="24"/>
          <w:lang w:val="el-GR"/>
        </w:rPr>
        <w:t xml:space="preserve">ήδη </w:t>
      </w:r>
      <w:r w:rsidRPr="005C424F">
        <w:rPr>
          <w:rFonts w:ascii="Constantia" w:hAnsi="Constantia"/>
          <w:sz w:val="24"/>
          <w:szCs w:val="24"/>
          <w:lang w:val="el-GR"/>
        </w:rPr>
        <w:t>αντιμετωπίζουν χαμηλότερα επίπεδα εισοδήματος</w:t>
      </w:r>
      <w:r w:rsidR="00B621CA">
        <w:rPr>
          <w:rFonts w:ascii="Constantia" w:hAnsi="Constantia"/>
          <w:sz w:val="24"/>
          <w:szCs w:val="24"/>
          <w:lang w:val="el-GR"/>
        </w:rPr>
        <w:t xml:space="preserve">, αυξημένο κόστος διαβίωσης λόγω των αναγκών της αναπηρίας, </w:t>
      </w:r>
      <w:r>
        <w:rPr>
          <w:rFonts w:ascii="Constantia" w:hAnsi="Constantia"/>
          <w:sz w:val="24"/>
          <w:szCs w:val="24"/>
          <w:lang w:val="el-GR"/>
        </w:rPr>
        <w:t>και υψηλότερο κίνδυνο φτώχειας ή/και κοινωνικού αποκλεισμού</w:t>
      </w:r>
      <w:r w:rsidR="00B621CA">
        <w:rPr>
          <w:rFonts w:ascii="Constantia" w:hAnsi="Constantia"/>
          <w:sz w:val="24"/>
          <w:szCs w:val="24"/>
          <w:lang w:val="el-GR"/>
        </w:rPr>
        <w:t xml:space="preserve">. Μάλιστα, τα επίπεδα της φτώχειας και του κοινωνικού αποκλεισμού </w:t>
      </w:r>
      <w:r>
        <w:rPr>
          <w:rFonts w:ascii="Constantia" w:hAnsi="Constantia"/>
          <w:sz w:val="24"/>
          <w:szCs w:val="24"/>
          <w:lang w:val="el-GR"/>
        </w:rPr>
        <w:t>δεν έχ</w:t>
      </w:r>
      <w:r w:rsidR="00B621CA">
        <w:rPr>
          <w:rFonts w:ascii="Constantia" w:hAnsi="Constantia"/>
          <w:sz w:val="24"/>
          <w:szCs w:val="24"/>
          <w:lang w:val="el-GR"/>
        </w:rPr>
        <w:t xml:space="preserve">ουν </w:t>
      </w:r>
      <w:r>
        <w:rPr>
          <w:rFonts w:ascii="Constantia" w:hAnsi="Constantia"/>
          <w:sz w:val="24"/>
          <w:szCs w:val="24"/>
          <w:lang w:val="el-GR"/>
        </w:rPr>
        <w:t>ακολουθήσει τη γενική τάση αποκλιμάκωση</w:t>
      </w:r>
      <w:r w:rsidR="00F14146">
        <w:rPr>
          <w:rFonts w:ascii="Constantia" w:hAnsi="Constantia"/>
          <w:sz w:val="24"/>
          <w:szCs w:val="24"/>
          <w:lang w:val="el-GR"/>
        </w:rPr>
        <w:t xml:space="preserve">ς, </w:t>
      </w:r>
      <w:r w:rsidR="00F14146" w:rsidRPr="00F14146">
        <w:rPr>
          <w:rFonts w:ascii="Constantia" w:hAnsi="Constantia"/>
          <w:sz w:val="24"/>
          <w:szCs w:val="24"/>
          <w:lang w:val="el-GR"/>
        </w:rPr>
        <w:t xml:space="preserve">παρά τη σταδιακή βελτίωση </w:t>
      </w:r>
      <w:r w:rsidR="00B621CA">
        <w:rPr>
          <w:rFonts w:ascii="Constantia" w:hAnsi="Constantia"/>
          <w:sz w:val="24"/>
          <w:szCs w:val="24"/>
          <w:lang w:val="el-GR"/>
        </w:rPr>
        <w:t xml:space="preserve">στη χώρα </w:t>
      </w:r>
      <w:r w:rsidR="00F14146" w:rsidRPr="00F14146">
        <w:rPr>
          <w:rFonts w:ascii="Constantia" w:hAnsi="Constantia"/>
          <w:sz w:val="24"/>
          <w:szCs w:val="24"/>
          <w:lang w:val="el-GR"/>
        </w:rPr>
        <w:t>σειράς κοινωνικοοικονομικών δεικτών μετά το 2016</w:t>
      </w:r>
      <w:r w:rsidR="00F14146">
        <w:rPr>
          <w:rFonts w:ascii="Constantia" w:hAnsi="Constantia"/>
          <w:sz w:val="24"/>
          <w:szCs w:val="24"/>
          <w:lang w:val="el-GR"/>
        </w:rPr>
        <w:t xml:space="preserve">. </w:t>
      </w:r>
    </w:p>
    <w:p w14:paraId="745346E6" w14:textId="77777777" w:rsidR="00800DD7" w:rsidRDefault="00F14146" w:rsidP="0013775B">
      <w:pPr>
        <w:jc w:val="both"/>
        <w:rPr>
          <w:rFonts w:ascii="Constantia" w:hAnsi="Constantia"/>
          <w:sz w:val="24"/>
          <w:szCs w:val="24"/>
          <w:lang w:val="el-GR"/>
        </w:rPr>
      </w:pPr>
      <w:r>
        <w:rPr>
          <w:rFonts w:ascii="Constantia" w:hAnsi="Constantia"/>
          <w:sz w:val="24"/>
          <w:szCs w:val="24"/>
          <w:lang w:val="el-GR"/>
        </w:rPr>
        <w:t xml:space="preserve">Αντίθετα, σύμφωνα με τα </w:t>
      </w:r>
      <w:r w:rsidR="00B621CA">
        <w:rPr>
          <w:rFonts w:ascii="Constantia" w:hAnsi="Constantia"/>
          <w:sz w:val="24"/>
          <w:szCs w:val="24"/>
          <w:lang w:val="el-GR"/>
        </w:rPr>
        <w:t>διαθέσιμα</w:t>
      </w:r>
      <w:r>
        <w:rPr>
          <w:rFonts w:ascii="Constantia" w:hAnsi="Constantia"/>
          <w:sz w:val="24"/>
          <w:szCs w:val="24"/>
          <w:lang w:val="el-GR"/>
        </w:rPr>
        <w:t xml:space="preserve"> δεδομένα</w:t>
      </w:r>
      <w:r w:rsidR="00B621CA">
        <w:rPr>
          <w:rFonts w:ascii="Constantia" w:hAnsi="Constantia"/>
          <w:sz w:val="24"/>
          <w:szCs w:val="24"/>
          <w:lang w:val="el-GR"/>
        </w:rPr>
        <w:t xml:space="preserve">, όχι μόνο το φαινόμενο της φτώχειας στα άτομα με αναπηρία παραμένει επίμονο και πολυδιάστατο, αλλά η όποια ανάπτυξη έχει συντελεστεί κατά τη μετα-μνημονιακή </w:t>
      </w:r>
      <w:r w:rsidR="00800DD7">
        <w:rPr>
          <w:rFonts w:ascii="Constantia" w:hAnsi="Constantia"/>
          <w:sz w:val="24"/>
          <w:szCs w:val="24"/>
          <w:lang w:val="el-GR"/>
        </w:rPr>
        <w:t>εποχή</w:t>
      </w:r>
      <w:r w:rsidR="00B621CA">
        <w:rPr>
          <w:rFonts w:ascii="Constantia" w:hAnsi="Constantia"/>
          <w:sz w:val="24"/>
          <w:szCs w:val="24"/>
          <w:lang w:val="el-GR"/>
        </w:rPr>
        <w:t xml:space="preserve">, φαίνεται ότι διευρύνει τις ανισότητες </w:t>
      </w:r>
      <w:r w:rsidRPr="00F14146">
        <w:rPr>
          <w:rFonts w:ascii="Constantia" w:hAnsi="Constantia"/>
          <w:sz w:val="24"/>
          <w:szCs w:val="24"/>
          <w:lang w:val="el-GR"/>
        </w:rPr>
        <w:t xml:space="preserve">σε βάρος του πληθυσμού με αναπηρία, χρόνιες ή/και σπάνιες παθήσεις, </w:t>
      </w:r>
      <w:r w:rsidR="00B621CA">
        <w:rPr>
          <w:rFonts w:ascii="Constantia" w:hAnsi="Constantia"/>
          <w:sz w:val="24"/>
          <w:szCs w:val="24"/>
          <w:lang w:val="el-GR"/>
        </w:rPr>
        <w:t xml:space="preserve">γεγονός που </w:t>
      </w:r>
      <w:r w:rsidRPr="00F14146">
        <w:rPr>
          <w:rFonts w:ascii="Constantia" w:hAnsi="Constantia"/>
          <w:sz w:val="24"/>
          <w:szCs w:val="24"/>
          <w:lang w:val="el-GR"/>
        </w:rPr>
        <w:t>επιβεβαιώνει τον δομικό χαρακτήρα του φαινομένου</w:t>
      </w:r>
      <w:r w:rsidR="00B621CA">
        <w:rPr>
          <w:rFonts w:ascii="Constantia" w:hAnsi="Constantia"/>
          <w:sz w:val="24"/>
          <w:szCs w:val="24"/>
          <w:lang w:val="el-GR"/>
        </w:rPr>
        <w:t xml:space="preserve">. </w:t>
      </w:r>
    </w:p>
    <w:p w14:paraId="7320531B" w14:textId="7317D500" w:rsidR="0013775B" w:rsidRDefault="00B621CA" w:rsidP="0013775B">
      <w:pPr>
        <w:jc w:val="both"/>
        <w:rPr>
          <w:rFonts w:ascii="Constantia" w:hAnsi="Constantia"/>
          <w:sz w:val="24"/>
          <w:szCs w:val="24"/>
          <w:lang w:val="el-GR"/>
        </w:rPr>
      </w:pPr>
      <w:r>
        <w:rPr>
          <w:rFonts w:ascii="Constantia" w:hAnsi="Constantia"/>
          <w:sz w:val="24"/>
          <w:szCs w:val="24"/>
          <w:lang w:val="el-GR"/>
        </w:rPr>
        <w:t xml:space="preserve">Σήμερα, οι μισοί </w:t>
      </w:r>
      <w:r w:rsidR="00F14146" w:rsidRPr="00B621CA">
        <w:rPr>
          <w:rFonts w:ascii="Constantia" w:hAnsi="Constantia"/>
          <w:sz w:val="24"/>
          <w:szCs w:val="24"/>
          <w:lang w:val="el-GR"/>
        </w:rPr>
        <w:t xml:space="preserve">πολίτες με σοβαρή αναπηρία στις παραγωγικές ηλικίες </w:t>
      </w:r>
      <w:r>
        <w:rPr>
          <w:rFonts w:ascii="Constantia" w:hAnsi="Constantia"/>
          <w:sz w:val="24"/>
          <w:szCs w:val="24"/>
          <w:lang w:val="el-GR"/>
        </w:rPr>
        <w:t xml:space="preserve">εξακολουθούν </w:t>
      </w:r>
      <w:r w:rsidR="00F14146" w:rsidRPr="00B621CA">
        <w:rPr>
          <w:rFonts w:ascii="Constantia" w:hAnsi="Constantia"/>
          <w:sz w:val="24"/>
          <w:szCs w:val="24"/>
          <w:lang w:val="el-GR"/>
        </w:rPr>
        <w:t>να βρίσκονται στο φάσμα της φτώχειας και του κοινωνικού αποκλεισμού</w:t>
      </w:r>
      <w:r w:rsidR="00F14146" w:rsidRPr="00F14146">
        <w:rPr>
          <w:rFonts w:ascii="Constantia" w:hAnsi="Constantia"/>
          <w:sz w:val="24"/>
          <w:szCs w:val="24"/>
          <w:lang w:val="el-GR"/>
        </w:rPr>
        <w:t>.</w:t>
      </w:r>
      <w:r w:rsidR="00125C41">
        <w:rPr>
          <w:rFonts w:ascii="Constantia" w:hAnsi="Constantia"/>
          <w:sz w:val="24"/>
          <w:szCs w:val="24"/>
          <w:lang w:val="el-GR"/>
        </w:rPr>
        <w:t xml:space="preserve"> </w:t>
      </w:r>
      <w:r w:rsidR="0013775B" w:rsidRPr="005C424F">
        <w:rPr>
          <w:rFonts w:ascii="Constantia" w:hAnsi="Constantia"/>
          <w:sz w:val="24"/>
          <w:szCs w:val="24"/>
          <w:lang w:val="el-GR"/>
        </w:rPr>
        <w:t xml:space="preserve">Ως αποτέλεσμα, το διαθέσιμο εισόδημά τους για την κάλυψη των στεγαστικών αναγκών είναι περιορισμένο, </w:t>
      </w:r>
      <w:r w:rsidR="0013775B">
        <w:rPr>
          <w:rFonts w:ascii="Constantia" w:hAnsi="Constantia"/>
          <w:sz w:val="24"/>
          <w:szCs w:val="24"/>
          <w:lang w:val="el-GR"/>
        </w:rPr>
        <w:t>ενώ παράλληλα</w:t>
      </w:r>
      <w:r w:rsidR="0013775B" w:rsidRPr="005C424F">
        <w:rPr>
          <w:rFonts w:ascii="Constantia" w:hAnsi="Constantia"/>
          <w:sz w:val="24"/>
          <w:szCs w:val="24"/>
          <w:lang w:val="el-GR"/>
        </w:rPr>
        <w:t xml:space="preserve">, </w:t>
      </w:r>
      <w:r w:rsidR="0013775B">
        <w:rPr>
          <w:rFonts w:ascii="Constantia" w:hAnsi="Constantia"/>
          <w:sz w:val="24"/>
          <w:szCs w:val="24"/>
          <w:lang w:val="el-GR"/>
        </w:rPr>
        <w:t xml:space="preserve">το κόστος της στέγης είναι </w:t>
      </w:r>
      <w:r>
        <w:rPr>
          <w:rFonts w:ascii="Constantia" w:hAnsi="Constantia"/>
          <w:sz w:val="24"/>
          <w:szCs w:val="24"/>
          <w:lang w:val="el-GR"/>
        </w:rPr>
        <w:t>συνήθως</w:t>
      </w:r>
      <w:r w:rsidR="0013775B">
        <w:rPr>
          <w:rFonts w:ascii="Constantia" w:hAnsi="Constantia"/>
          <w:sz w:val="24"/>
          <w:szCs w:val="24"/>
          <w:lang w:val="el-GR"/>
        </w:rPr>
        <w:t xml:space="preserve"> υψηλότερο, λόγω της </w:t>
      </w:r>
      <w:r w:rsidR="0013775B" w:rsidRPr="005C424F">
        <w:rPr>
          <w:rFonts w:ascii="Constantia" w:hAnsi="Constantia"/>
          <w:sz w:val="24"/>
          <w:szCs w:val="24"/>
          <w:lang w:val="el-GR"/>
        </w:rPr>
        <w:t>περιορισμένη</w:t>
      </w:r>
      <w:r w:rsidR="0013775B">
        <w:rPr>
          <w:rFonts w:ascii="Constantia" w:hAnsi="Constantia"/>
          <w:sz w:val="24"/>
          <w:szCs w:val="24"/>
          <w:lang w:val="el-GR"/>
        </w:rPr>
        <w:t>ς</w:t>
      </w:r>
      <w:r w:rsidR="0013775B" w:rsidRPr="005C424F">
        <w:rPr>
          <w:rFonts w:ascii="Constantia" w:hAnsi="Constantia"/>
          <w:sz w:val="24"/>
          <w:szCs w:val="24"/>
          <w:lang w:val="el-GR"/>
        </w:rPr>
        <w:t xml:space="preserve"> διαθεσιμότητα</w:t>
      </w:r>
      <w:r w:rsidR="0013775B">
        <w:rPr>
          <w:rFonts w:ascii="Constantia" w:hAnsi="Constantia"/>
          <w:sz w:val="24"/>
          <w:szCs w:val="24"/>
          <w:lang w:val="el-GR"/>
        </w:rPr>
        <w:t>ς</w:t>
      </w:r>
      <w:r w:rsidR="0013775B" w:rsidRPr="005C424F">
        <w:rPr>
          <w:rFonts w:ascii="Constantia" w:hAnsi="Constantia"/>
          <w:sz w:val="24"/>
          <w:szCs w:val="24"/>
          <w:lang w:val="el-GR"/>
        </w:rPr>
        <w:t xml:space="preserve"> προσβάσιμων </w:t>
      </w:r>
      <w:r w:rsidR="0013775B">
        <w:rPr>
          <w:rFonts w:ascii="Constantia" w:hAnsi="Constantia"/>
          <w:sz w:val="24"/>
          <w:szCs w:val="24"/>
          <w:lang w:val="el-GR"/>
        </w:rPr>
        <w:t xml:space="preserve">και κατάλληλων </w:t>
      </w:r>
      <w:r w:rsidR="0013775B" w:rsidRPr="005C424F">
        <w:rPr>
          <w:rFonts w:ascii="Constantia" w:hAnsi="Constantia"/>
          <w:sz w:val="24"/>
          <w:szCs w:val="24"/>
          <w:lang w:val="el-GR"/>
        </w:rPr>
        <w:t>κατοικιών</w:t>
      </w:r>
      <w:r w:rsidR="0013775B">
        <w:rPr>
          <w:rFonts w:ascii="Constantia" w:hAnsi="Constantia"/>
          <w:sz w:val="24"/>
          <w:szCs w:val="24"/>
          <w:lang w:val="el-GR"/>
        </w:rPr>
        <w:t xml:space="preserve">. </w:t>
      </w:r>
    </w:p>
    <w:p w14:paraId="25AEF76C" w14:textId="77FEB567" w:rsidR="0013775B" w:rsidRDefault="0013775B" w:rsidP="0013775B">
      <w:pPr>
        <w:jc w:val="both"/>
        <w:rPr>
          <w:rFonts w:ascii="Constantia" w:hAnsi="Constantia"/>
          <w:sz w:val="24"/>
          <w:szCs w:val="24"/>
          <w:lang w:val="el-GR"/>
        </w:rPr>
      </w:pPr>
      <w:r w:rsidRPr="005C424F">
        <w:rPr>
          <w:rFonts w:ascii="Constantia" w:hAnsi="Constantia"/>
          <w:sz w:val="24"/>
          <w:szCs w:val="24"/>
          <w:lang w:val="el-GR"/>
        </w:rPr>
        <w:t xml:space="preserve">Η </w:t>
      </w:r>
      <w:r>
        <w:rPr>
          <w:rFonts w:ascii="Constantia" w:hAnsi="Constantia"/>
          <w:sz w:val="24"/>
          <w:szCs w:val="24"/>
          <w:lang w:val="el-GR"/>
        </w:rPr>
        <w:t xml:space="preserve">απουσία προσιτής και ποιοτικής </w:t>
      </w:r>
      <w:r w:rsidRPr="005C424F">
        <w:rPr>
          <w:rFonts w:ascii="Constantia" w:hAnsi="Constantia"/>
          <w:sz w:val="24"/>
          <w:szCs w:val="24"/>
          <w:lang w:val="el-GR"/>
        </w:rPr>
        <w:t>στέγαση</w:t>
      </w:r>
      <w:r>
        <w:rPr>
          <w:rFonts w:ascii="Constantia" w:hAnsi="Constantia"/>
          <w:sz w:val="24"/>
          <w:szCs w:val="24"/>
          <w:lang w:val="el-GR"/>
        </w:rPr>
        <w:t>ς για τα άτομα με αναπηρία,</w:t>
      </w:r>
      <w:r w:rsidRPr="005C424F">
        <w:rPr>
          <w:rFonts w:ascii="Constantia" w:hAnsi="Constantia"/>
          <w:sz w:val="24"/>
          <w:szCs w:val="24"/>
          <w:lang w:val="el-GR"/>
        </w:rPr>
        <w:t xml:space="preserve"> δεν επηρεάζει μόνο το επίπεδο </w:t>
      </w:r>
      <w:r>
        <w:rPr>
          <w:rFonts w:ascii="Constantia" w:hAnsi="Constantia"/>
          <w:sz w:val="24"/>
          <w:szCs w:val="24"/>
          <w:lang w:val="el-GR"/>
        </w:rPr>
        <w:t xml:space="preserve">των υλικών συνθηκών </w:t>
      </w:r>
      <w:r w:rsidRPr="005C424F">
        <w:rPr>
          <w:rFonts w:ascii="Constantia" w:hAnsi="Constantia"/>
          <w:sz w:val="24"/>
          <w:szCs w:val="24"/>
          <w:lang w:val="el-GR"/>
        </w:rPr>
        <w:t>διαβίωσ</w:t>
      </w:r>
      <w:r>
        <w:rPr>
          <w:rFonts w:ascii="Constantia" w:hAnsi="Constantia"/>
          <w:sz w:val="24"/>
          <w:szCs w:val="24"/>
          <w:lang w:val="el-GR"/>
        </w:rPr>
        <w:t>ής τους</w:t>
      </w:r>
      <w:r w:rsidRPr="005C424F">
        <w:rPr>
          <w:rFonts w:ascii="Constantia" w:hAnsi="Constantia"/>
          <w:sz w:val="24"/>
          <w:szCs w:val="24"/>
          <w:lang w:val="el-GR"/>
        </w:rPr>
        <w:t xml:space="preserve">, αλλά </w:t>
      </w:r>
      <w:r>
        <w:rPr>
          <w:rFonts w:ascii="Constantia" w:hAnsi="Constantia"/>
          <w:sz w:val="24"/>
          <w:szCs w:val="24"/>
          <w:lang w:val="el-GR"/>
        </w:rPr>
        <w:t xml:space="preserve">σημαίνει και </w:t>
      </w:r>
      <w:r w:rsidR="00B621CA">
        <w:rPr>
          <w:rFonts w:ascii="Constantia" w:hAnsi="Constantia"/>
          <w:sz w:val="24"/>
          <w:szCs w:val="24"/>
          <w:lang w:val="el-GR"/>
        </w:rPr>
        <w:t xml:space="preserve">σαφώς </w:t>
      </w:r>
      <w:r>
        <w:rPr>
          <w:rFonts w:ascii="Constantia" w:hAnsi="Constantia"/>
          <w:sz w:val="24"/>
          <w:szCs w:val="24"/>
          <w:lang w:val="el-GR"/>
        </w:rPr>
        <w:t xml:space="preserve">μειωμένη δυνατότητα για ισότιμη συμμετοχή στην κοινωνία και ανεξάρτητη διαβίωση. </w:t>
      </w:r>
    </w:p>
    <w:p w14:paraId="4126F2DB" w14:textId="1C49CD4D" w:rsidR="00A76512" w:rsidRPr="00A76512" w:rsidRDefault="002E31F3" w:rsidP="002E31F3">
      <w:pPr>
        <w:jc w:val="both"/>
        <w:rPr>
          <w:rFonts w:ascii="Constantia" w:hAnsi="Constantia"/>
          <w:sz w:val="24"/>
          <w:szCs w:val="24"/>
          <w:lang w:val="el-GR"/>
        </w:rPr>
      </w:pPr>
      <w:r>
        <w:rPr>
          <w:rFonts w:ascii="Constantia" w:hAnsi="Constantia"/>
          <w:sz w:val="24"/>
          <w:szCs w:val="24"/>
          <w:lang w:val="el-GR"/>
        </w:rPr>
        <w:t>Υπό το πρίσμα των συνεχόμενων στεγαστικών πιέσεων στη χώρα</w:t>
      </w:r>
      <w:r w:rsidR="00A76512">
        <w:rPr>
          <w:rFonts w:ascii="Constantia" w:hAnsi="Constantia"/>
          <w:sz w:val="24"/>
          <w:szCs w:val="24"/>
          <w:lang w:val="el-GR"/>
        </w:rPr>
        <w:t xml:space="preserve"> και σε εναρμόνιση με τις ευρωπαϊκές κατευθύνσεις, </w:t>
      </w:r>
      <w:r>
        <w:rPr>
          <w:rFonts w:ascii="Constantia" w:hAnsi="Constantia"/>
          <w:sz w:val="24"/>
          <w:szCs w:val="24"/>
          <w:lang w:val="el-GR"/>
        </w:rPr>
        <w:t xml:space="preserve">εκπονήθηκε </w:t>
      </w:r>
      <w:r w:rsidRPr="002E31F3">
        <w:rPr>
          <w:rFonts w:ascii="Constantia" w:hAnsi="Constantia"/>
          <w:sz w:val="24"/>
          <w:szCs w:val="24"/>
          <w:lang w:val="el-GR"/>
        </w:rPr>
        <w:t xml:space="preserve">από το </w:t>
      </w:r>
      <w:r w:rsidRPr="00A76512">
        <w:rPr>
          <w:rFonts w:ascii="Constantia" w:hAnsi="Constantia"/>
          <w:sz w:val="24"/>
          <w:szCs w:val="24"/>
          <w:lang w:val="el-GR"/>
        </w:rPr>
        <w:t>Υπουργείο Κοινωνικής Συνοχής και Οικογένειας</w:t>
      </w:r>
      <w:r w:rsidR="00A76512" w:rsidRPr="00A76512">
        <w:rPr>
          <w:rFonts w:ascii="Constantia" w:hAnsi="Constantia"/>
          <w:sz w:val="24"/>
          <w:szCs w:val="24"/>
          <w:lang w:val="el-GR"/>
        </w:rPr>
        <w:t xml:space="preserve"> και </w:t>
      </w:r>
      <w:r w:rsidR="00A76512">
        <w:rPr>
          <w:rFonts w:ascii="Constantia" w:hAnsi="Constantia"/>
          <w:sz w:val="24"/>
          <w:szCs w:val="24"/>
          <w:lang w:val="el-GR"/>
        </w:rPr>
        <w:t xml:space="preserve">εγκρίθηκε </w:t>
      </w:r>
      <w:r w:rsidR="00A76512" w:rsidRPr="002E31F3">
        <w:rPr>
          <w:rFonts w:ascii="Constantia" w:hAnsi="Constantia"/>
          <w:sz w:val="24"/>
          <w:szCs w:val="24"/>
          <w:lang w:val="el-GR"/>
        </w:rPr>
        <w:t>από την Κυβερνητική Επιτροπή Στεγαστικής Πολιτικής</w:t>
      </w:r>
      <w:r w:rsidRPr="00A76512">
        <w:rPr>
          <w:rFonts w:ascii="Constantia" w:hAnsi="Constantia"/>
          <w:sz w:val="24"/>
          <w:szCs w:val="24"/>
          <w:lang w:val="el-GR"/>
        </w:rPr>
        <w:t>,</w:t>
      </w:r>
      <w:r w:rsidRPr="002E31F3">
        <w:rPr>
          <w:rFonts w:ascii="Constantia" w:hAnsi="Constantia"/>
          <w:sz w:val="24"/>
          <w:szCs w:val="24"/>
          <w:lang w:val="el-GR"/>
        </w:rPr>
        <w:t xml:space="preserve"> </w:t>
      </w:r>
      <w:r>
        <w:rPr>
          <w:rFonts w:ascii="Constantia" w:hAnsi="Constantia"/>
          <w:sz w:val="24"/>
          <w:szCs w:val="24"/>
          <w:lang w:val="el-GR"/>
        </w:rPr>
        <w:t xml:space="preserve">η </w:t>
      </w:r>
      <w:r w:rsidRPr="00596065">
        <w:rPr>
          <w:rFonts w:ascii="Constantia" w:hAnsi="Constantia"/>
          <w:sz w:val="24"/>
          <w:szCs w:val="24"/>
          <w:lang w:val="el-GR"/>
        </w:rPr>
        <w:t>Εθνική Στρατηγική για τη Στεγαστική Πολιτική</w:t>
      </w:r>
      <w:r>
        <w:rPr>
          <w:rFonts w:ascii="Constantia" w:hAnsi="Constantia"/>
          <w:sz w:val="24"/>
          <w:szCs w:val="24"/>
          <w:lang w:val="el-GR"/>
        </w:rPr>
        <w:t xml:space="preserve"> </w:t>
      </w:r>
      <w:r w:rsidRPr="00596065">
        <w:rPr>
          <w:rFonts w:ascii="Constantia" w:hAnsi="Constantia"/>
          <w:sz w:val="24"/>
          <w:szCs w:val="24"/>
          <w:lang w:val="el-GR"/>
        </w:rPr>
        <w:t>2026-2035</w:t>
      </w:r>
      <w:r>
        <w:rPr>
          <w:rFonts w:ascii="Constantia" w:hAnsi="Constantia"/>
          <w:sz w:val="24"/>
          <w:szCs w:val="24"/>
          <w:lang w:val="el-GR"/>
        </w:rPr>
        <w:t>,</w:t>
      </w:r>
      <w:r w:rsidRPr="00A76512">
        <w:rPr>
          <w:rFonts w:ascii="Constantia" w:hAnsi="Constantia"/>
          <w:sz w:val="24"/>
          <w:szCs w:val="24"/>
          <w:lang w:val="el-GR"/>
        </w:rPr>
        <w:t xml:space="preserve"> </w:t>
      </w:r>
      <w:r w:rsidRPr="00A76512">
        <w:rPr>
          <w:rFonts w:ascii="Constantia" w:hAnsi="Constantia"/>
          <w:i/>
          <w:iCs/>
          <w:sz w:val="24"/>
          <w:szCs w:val="24"/>
          <w:lang w:val="el-GR"/>
        </w:rPr>
        <w:t>ένα ενιαίο στρατηγικό πλαίσιο για τον σχεδιασμό, τον συντονισμό και την υλοποίηση της στεγαστικής πολιτικής της χώρας</w:t>
      </w:r>
      <w:r w:rsidRPr="00A76512">
        <w:rPr>
          <w:rFonts w:ascii="Constantia" w:hAnsi="Constantia"/>
          <w:sz w:val="24"/>
          <w:szCs w:val="24"/>
          <w:lang w:val="el-GR"/>
        </w:rPr>
        <w:t xml:space="preserve">. </w:t>
      </w:r>
    </w:p>
    <w:p w14:paraId="32A25B0D" w14:textId="29148BC4" w:rsidR="002E31F3" w:rsidRDefault="002E31F3" w:rsidP="002E31F3">
      <w:pPr>
        <w:jc w:val="both"/>
        <w:rPr>
          <w:rFonts w:ascii="Constantia" w:hAnsi="Constantia"/>
          <w:sz w:val="24"/>
          <w:szCs w:val="24"/>
          <w:lang w:val="el-GR"/>
        </w:rPr>
      </w:pPr>
      <w:r w:rsidRPr="002E31F3">
        <w:rPr>
          <w:rFonts w:ascii="Constantia" w:hAnsi="Constantia"/>
          <w:sz w:val="24"/>
          <w:szCs w:val="24"/>
          <w:lang w:val="el-GR"/>
        </w:rPr>
        <w:t xml:space="preserve">Η Στρατηγική </w:t>
      </w:r>
      <w:r w:rsidR="00A76512">
        <w:rPr>
          <w:rFonts w:ascii="Constantia" w:hAnsi="Constantia"/>
          <w:sz w:val="24"/>
          <w:szCs w:val="24"/>
          <w:lang w:val="el-GR"/>
        </w:rPr>
        <w:t xml:space="preserve">είχε τεθεί </w:t>
      </w:r>
      <w:r w:rsidRPr="002E31F3">
        <w:rPr>
          <w:rFonts w:ascii="Constantia" w:hAnsi="Constantia"/>
          <w:sz w:val="24"/>
          <w:szCs w:val="24"/>
          <w:lang w:val="el-GR"/>
        </w:rPr>
        <w:t xml:space="preserve">σε δημόσια διαβούλευση από τις 18 Ιουνίου έως τις 3 Ιουλίου 2026, </w:t>
      </w:r>
      <w:r w:rsidR="00ED0F22">
        <w:rPr>
          <w:rFonts w:ascii="Constantia" w:hAnsi="Constantia"/>
          <w:sz w:val="24"/>
          <w:szCs w:val="24"/>
          <w:lang w:val="el-GR"/>
        </w:rPr>
        <w:t xml:space="preserve">όπου </w:t>
      </w:r>
      <w:r>
        <w:rPr>
          <w:rFonts w:ascii="Constantia" w:hAnsi="Constantia"/>
          <w:sz w:val="24"/>
          <w:szCs w:val="24"/>
          <w:lang w:val="el-GR"/>
        </w:rPr>
        <w:t xml:space="preserve">και η ΕΣΑμεΑ </w:t>
      </w:r>
      <w:r w:rsidR="00ED0F22">
        <w:rPr>
          <w:rFonts w:ascii="Constantia" w:hAnsi="Constantia"/>
          <w:sz w:val="24"/>
          <w:szCs w:val="24"/>
          <w:lang w:val="el-GR"/>
        </w:rPr>
        <w:t>υπέβαλλε</w:t>
      </w:r>
      <w:r>
        <w:rPr>
          <w:rFonts w:ascii="Constantia" w:hAnsi="Constantia"/>
          <w:sz w:val="24"/>
          <w:szCs w:val="24"/>
          <w:lang w:val="el-GR"/>
        </w:rPr>
        <w:t xml:space="preserve"> </w:t>
      </w:r>
      <w:r w:rsidR="00A76512">
        <w:rPr>
          <w:rFonts w:ascii="Constantia" w:hAnsi="Constantia"/>
          <w:sz w:val="24"/>
          <w:szCs w:val="24"/>
          <w:lang w:val="el-GR"/>
        </w:rPr>
        <w:t xml:space="preserve">τότε τις </w:t>
      </w:r>
      <w:r>
        <w:rPr>
          <w:rFonts w:ascii="Constantia" w:hAnsi="Constantia"/>
          <w:sz w:val="24"/>
          <w:szCs w:val="24"/>
          <w:lang w:val="el-GR"/>
        </w:rPr>
        <w:t xml:space="preserve">τεκμηριωμένες και αναλυτικές προτάσεις </w:t>
      </w:r>
      <w:r w:rsidR="00A76512">
        <w:rPr>
          <w:rFonts w:ascii="Constantia" w:hAnsi="Constantia"/>
          <w:sz w:val="24"/>
          <w:szCs w:val="24"/>
          <w:lang w:val="el-GR"/>
        </w:rPr>
        <w:t xml:space="preserve">της </w:t>
      </w:r>
      <w:r>
        <w:rPr>
          <w:rFonts w:ascii="Constantia" w:hAnsi="Constantia"/>
          <w:sz w:val="24"/>
          <w:szCs w:val="24"/>
          <w:lang w:val="el-GR"/>
        </w:rPr>
        <w:t xml:space="preserve">για την ενσωμάτωση της αναπηρίας </w:t>
      </w:r>
      <w:r w:rsidR="00A76512">
        <w:rPr>
          <w:rFonts w:ascii="Constantia" w:hAnsi="Constantia"/>
          <w:sz w:val="24"/>
          <w:szCs w:val="24"/>
          <w:lang w:val="el-GR"/>
        </w:rPr>
        <w:t xml:space="preserve">στη στοχοθεσία και τα μέτρα της Στρατηγικής. </w:t>
      </w:r>
    </w:p>
    <w:p w14:paraId="4456C0B4" w14:textId="644F160F" w:rsidR="0013775B" w:rsidRDefault="00A76512" w:rsidP="0013775B">
      <w:pPr>
        <w:jc w:val="both"/>
        <w:rPr>
          <w:rFonts w:ascii="Constantia" w:hAnsi="Constantia"/>
          <w:sz w:val="24"/>
          <w:szCs w:val="24"/>
          <w:lang w:val="el-GR"/>
        </w:rPr>
      </w:pPr>
      <w:r>
        <w:rPr>
          <w:rFonts w:ascii="Constantia" w:hAnsi="Constantia"/>
          <w:sz w:val="24"/>
          <w:szCs w:val="24"/>
          <w:lang w:val="el-GR"/>
        </w:rPr>
        <w:t>Σε αυτή τη συγκυρία, τ</w:t>
      </w:r>
      <w:r w:rsidR="0013775B">
        <w:rPr>
          <w:rFonts w:ascii="Constantia" w:hAnsi="Constantia"/>
          <w:sz w:val="24"/>
          <w:szCs w:val="24"/>
          <w:lang w:val="el-GR"/>
        </w:rPr>
        <w:t>ο Παρατηρητήριο</w:t>
      </w:r>
      <w:r w:rsidR="008E031C">
        <w:rPr>
          <w:rFonts w:ascii="Constantia" w:hAnsi="Constantia"/>
          <w:sz w:val="24"/>
          <w:szCs w:val="24"/>
          <w:lang w:val="el-GR"/>
        </w:rPr>
        <w:t>,</w:t>
      </w:r>
      <w:r w:rsidR="0013775B">
        <w:rPr>
          <w:rFonts w:ascii="Constantia" w:hAnsi="Constantia"/>
          <w:sz w:val="24"/>
          <w:szCs w:val="24"/>
          <w:lang w:val="el-GR"/>
        </w:rPr>
        <w:t xml:space="preserve"> αφιέρωσε το παρόν Δελτίο στην παρουσίαση στατιστικών στοιχείων που αποτυπώνουν </w:t>
      </w:r>
      <w:r>
        <w:rPr>
          <w:rFonts w:ascii="Constantia" w:hAnsi="Constantia"/>
          <w:sz w:val="24"/>
          <w:szCs w:val="24"/>
          <w:lang w:val="el-GR"/>
        </w:rPr>
        <w:t>την έκταση και την επιμονή του φαινομένου της στεγαστικής φτώχειας και επισφάλειας στον πληθυσμό των ατόμων με αναπηρία στη χώρα, τεκμηριώνοντας την υποχρέωση της πολιτείας να ενσωματώσει καθολικά και οριζόντια της διάστασης της αναπηρίας σε κάθε στεγαστική πολιτική και μέτρο που πρόκειται να υλοποιηθεί.</w:t>
      </w:r>
    </w:p>
    <w:p w14:paraId="4F2B8465" w14:textId="490E3AF4" w:rsidR="0013775B" w:rsidRDefault="0013775B" w:rsidP="0013775B">
      <w:pPr>
        <w:jc w:val="both"/>
        <w:rPr>
          <w:rFonts w:ascii="Constantia" w:hAnsi="Constantia"/>
          <w:sz w:val="24"/>
          <w:szCs w:val="24"/>
          <w:lang w:val="el-GR"/>
        </w:rPr>
      </w:pPr>
      <w:r w:rsidRPr="005C424F">
        <w:rPr>
          <w:rFonts w:ascii="Constantia" w:hAnsi="Constantia"/>
          <w:sz w:val="24"/>
          <w:szCs w:val="24"/>
          <w:lang w:val="el-GR"/>
        </w:rPr>
        <w:t xml:space="preserve">Η ανάλυση </w:t>
      </w:r>
      <w:r>
        <w:rPr>
          <w:rFonts w:ascii="Constantia" w:hAnsi="Constantia"/>
          <w:sz w:val="24"/>
          <w:szCs w:val="24"/>
          <w:lang w:val="el-GR"/>
        </w:rPr>
        <w:t>που ακολουθεί βασίζεται σε στοιχεία της Έρευνας Εισοδήματος και Συνθηκών Διαβίωσης των Νοικοκυριών (</w:t>
      </w:r>
      <w:r>
        <w:rPr>
          <w:rFonts w:ascii="Constantia" w:hAnsi="Constantia"/>
          <w:sz w:val="24"/>
          <w:szCs w:val="24"/>
        </w:rPr>
        <w:t>SILC</w:t>
      </w:r>
      <w:r w:rsidRPr="006E5049">
        <w:rPr>
          <w:rFonts w:ascii="Constantia" w:hAnsi="Constantia"/>
          <w:sz w:val="24"/>
          <w:szCs w:val="24"/>
          <w:lang w:val="el-GR"/>
        </w:rPr>
        <w:t xml:space="preserve">) </w:t>
      </w:r>
      <w:r>
        <w:rPr>
          <w:rFonts w:ascii="Constantia" w:hAnsi="Constantia"/>
          <w:sz w:val="24"/>
          <w:szCs w:val="24"/>
          <w:lang w:val="el-GR"/>
        </w:rPr>
        <w:t xml:space="preserve">της </w:t>
      </w:r>
      <w:r w:rsidRPr="005C424F">
        <w:rPr>
          <w:rFonts w:ascii="Constantia" w:hAnsi="Constantia"/>
          <w:sz w:val="24"/>
          <w:szCs w:val="24"/>
        </w:rPr>
        <w:t>Eurostat</w:t>
      </w:r>
      <w:r w:rsidRPr="005C424F">
        <w:rPr>
          <w:rFonts w:ascii="Constantia" w:hAnsi="Constantia"/>
          <w:sz w:val="24"/>
          <w:szCs w:val="24"/>
          <w:lang w:val="el-GR"/>
        </w:rPr>
        <w:t xml:space="preserve"> </w:t>
      </w:r>
      <w:r>
        <w:rPr>
          <w:rFonts w:ascii="Constantia" w:hAnsi="Constantia"/>
          <w:sz w:val="24"/>
          <w:szCs w:val="24"/>
          <w:lang w:val="el-GR"/>
        </w:rPr>
        <w:t>και της ΕΛΣΤΑΤ</w:t>
      </w:r>
      <w:r w:rsidR="008E031C">
        <w:rPr>
          <w:rFonts w:ascii="Constantia" w:hAnsi="Constantia"/>
          <w:sz w:val="24"/>
          <w:szCs w:val="24"/>
          <w:lang w:val="el-GR"/>
        </w:rPr>
        <w:t xml:space="preserve"> για τη δεκαετία 2016-2025</w:t>
      </w:r>
      <w:r>
        <w:rPr>
          <w:rFonts w:ascii="Constantia" w:hAnsi="Constantia"/>
          <w:sz w:val="24"/>
          <w:szCs w:val="24"/>
          <w:lang w:val="el-GR"/>
        </w:rPr>
        <w:t xml:space="preserve">, </w:t>
      </w:r>
      <w:r w:rsidR="009358B3">
        <w:rPr>
          <w:rFonts w:ascii="Constantia" w:hAnsi="Constantia"/>
          <w:sz w:val="24"/>
          <w:szCs w:val="24"/>
          <w:lang w:val="el-GR"/>
        </w:rPr>
        <w:t>εστιάζοντας</w:t>
      </w:r>
      <w:r w:rsidR="008E031C">
        <w:rPr>
          <w:rFonts w:ascii="Constantia" w:hAnsi="Constantia"/>
          <w:sz w:val="24"/>
          <w:szCs w:val="24"/>
          <w:lang w:val="el-GR"/>
        </w:rPr>
        <w:t xml:space="preserve"> σε κρίσιμους δείκτες όπως η υπερβολική επιβάρυνση του πληθυσμού από το κόστος της στέγασης, η καθυστέρηση στην πληρωμή των ενοικίων και των στεγαστικών δανείων, αλλά και η ενεργειακή φτώχεια. </w:t>
      </w:r>
    </w:p>
    <w:p w14:paraId="2B87A8CB" w14:textId="759209E5" w:rsidR="001B7609" w:rsidRDefault="001B7609">
      <w:pPr>
        <w:spacing w:after="0" w:line="240" w:lineRule="auto"/>
        <w:rPr>
          <w:lang w:val="el-GR"/>
        </w:rPr>
      </w:pPr>
      <w:r>
        <w:rPr>
          <w:lang w:val="el-GR"/>
        </w:rPr>
        <w:br w:type="page"/>
      </w:r>
    </w:p>
    <w:p w14:paraId="74AD23C5" w14:textId="4147751D" w:rsidR="00630CC0" w:rsidRDefault="00630CC0" w:rsidP="003363E1">
      <w:pPr>
        <w:pStyle w:val="10"/>
        <w:numPr>
          <w:ilvl w:val="0"/>
          <w:numId w:val="0"/>
        </w:numPr>
        <w:spacing w:before="360" w:after="240"/>
        <w:jc w:val="center"/>
        <w:rPr>
          <w:b/>
          <w:bCs/>
          <w:color w:val="000000" w:themeColor="text1"/>
          <w:u w:val="single"/>
          <w:lang w:val="el-GR"/>
        </w:rPr>
      </w:pPr>
      <w:bookmarkStart w:id="2" w:name="_Toc235457001"/>
      <w:r w:rsidRPr="00996E62">
        <w:rPr>
          <w:b/>
          <w:bCs/>
          <w:color w:val="000000" w:themeColor="text1"/>
          <w:u w:val="single"/>
          <w:lang w:val="el-GR"/>
        </w:rPr>
        <w:t>Βασικά Ευρήματα</w:t>
      </w:r>
      <w:bookmarkEnd w:id="2"/>
    </w:p>
    <w:p w14:paraId="525577A1" w14:textId="7B083893" w:rsidR="00D0700C" w:rsidRPr="002E31F3" w:rsidRDefault="00085F68" w:rsidP="00960C83">
      <w:pPr>
        <w:jc w:val="both"/>
        <w:rPr>
          <w:rFonts w:ascii="Constantia" w:hAnsi="Constantia"/>
          <w:b/>
          <w:bCs/>
          <w:sz w:val="24"/>
          <w:szCs w:val="24"/>
          <w:u w:val="single"/>
          <w:lang w:val="el-GR" w:eastAsia="el-GR"/>
        </w:rPr>
      </w:pPr>
      <w:r w:rsidRPr="00960C83">
        <w:rPr>
          <w:rFonts w:ascii="Constantia" w:hAnsi="Constantia"/>
          <w:b/>
          <w:bCs/>
          <w:sz w:val="24"/>
          <w:szCs w:val="24"/>
          <w:u w:val="single"/>
          <w:lang w:val="el-GR" w:eastAsia="el-GR"/>
        </w:rPr>
        <w:t xml:space="preserve">Υπερβολική επιβάρυνση </w:t>
      </w:r>
      <w:r w:rsidR="00D0700C" w:rsidRPr="00960C83">
        <w:rPr>
          <w:rFonts w:ascii="Constantia" w:hAnsi="Constantia"/>
          <w:b/>
          <w:bCs/>
          <w:sz w:val="24"/>
          <w:szCs w:val="24"/>
          <w:u w:val="single"/>
          <w:lang w:val="el-GR" w:eastAsia="el-GR"/>
        </w:rPr>
        <w:t>στεγαστικού κόστους (</w:t>
      </w:r>
      <w:r w:rsidR="00D0700C" w:rsidRPr="00D9339E">
        <w:rPr>
          <w:rFonts w:ascii="Constantia" w:hAnsi="Constantia"/>
          <w:b/>
          <w:bCs/>
          <w:sz w:val="24"/>
          <w:szCs w:val="24"/>
          <w:u w:val="single"/>
          <w:lang w:val="en-GB" w:eastAsia="el-GR"/>
        </w:rPr>
        <w:t>Housing</w:t>
      </w:r>
      <w:r w:rsidR="00D0700C" w:rsidRPr="002E31F3">
        <w:rPr>
          <w:rFonts w:ascii="Constantia" w:hAnsi="Constantia"/>
          <w:b/>
          <w:bCs/>
          <w:sz w:val="24"/>
          <w:szCs w:val="24"/>
          <w:u w:val="single"/>
          <w:lang w:val="el-GR" w:eastAsia="el-GR"/>
        </w:rPr>
        <w:t xml:space="preserve"> </w:t>
      </w:r>
      <w:r w:rsidR="00D0700C" w:rsidRPr="00D9339E">
        <w:rPr>
          <w:rFonts w:ascii="Constantia" w:hAnsi="Constantia"/>
          <w:b/>
          <w:bCs/>
          <w:sz w:val="24"/>
          <w:szCs w:val="24"/>
          <w:u w:val="single"/>
          <w:lang w:val="en-GB" w:eastAsia="el-GR"/>
        </w:rPr>
        <w:t>cost</w:t>
      </w:r>
      <w:r w:rsidR="00D0700C" w:rsidRPr="002E31F3">
        <w:rPr>
          <w:rFonts w:ascii="Constantia" w:hAnsi="Constantia"/>
          <w:b/>
          <w:bCs/>
          <w:sz w:val="24"/>
          <w:szCs w:val="24"/>
          <w:u w:val="single"/>
          <w:lang w:val="el-GR" w:eastAsia="el-GR"/>
        </w:rPr>
        <w:t xml:space="preserve"> </w:t>
      </w:r>
      <w:r w:rsidR="00D0700C" w:rsidRPr="00D9339E">
        <w:rPr>
          <w:rFonts w:ascii="Constantia" w:hAnsi="Constantia"/>
          <w:b/>
          <w:bCs/>
          <w:sz w:val="24"/>
          <w:szCs w:val="24"/>
          <w:u w:val="single"/>
          <w:lang w:val="en-GB" w:eastAsia="el-GR"/>
        </w:rPr>
        <w:t>overburden</w:t>
      </w:r>
      <w:r w:rsidR="00D0700C" w:rsidRPr="00960C83">
        <w:rPr>
          <w:rFonts w:ascii="Constantia" w:hAnsi="Constantia"/>
          <w:b/>
          <w:bCs/>
          <w:sz w:val="24"/>
          <w:szCs w:val="24"/>
          <w:u w:val="single"/>
          <w:lang w:val="el-GR" w:eastAsia="el-GR"/>
        </w:rPr>
        <w:t xml:space="preserve">) για τα άτομα </w:t>
      </w:r>
      <w:r w:rsidRPr="00960C83">
        <w:rPr>
          <w:rFonts w:ascii="Constantia" w:hAnsi="Constantia"/>
          <w:b/>
          <w:bCs/>
          <w:sz w:val="24"/>
          <w:szCs w:val="24"/>
          <w:u w:val="single"/>
          <w:lang w:val="el-GR" w:eastAsia="el-GR"/>
        </w:rPr>
        <w:t>με αναπηρία</w:t>
      </w:r>
    </w:p>
    <w:p w14:paraId="0C178562" w14:textId="01822409"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Το συνολικό αποτύπωμα της δεκαετίας 2016-2025 στην οικονομική επιβάρυνση των ατόμων με αναπηρία από το κόστος στέγασης είναι αρνητικό.</w:t>
      </w:r>
    </w:p>
    <w:p w14:paraId="5E3407C0" w14:textId="09998DC2" w:rsidR="00855965" w:rsidRPr="00960C83" w:rsidRDefault="00D0700C"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 xml:space="preserve">Ο δείκτης «Ποσοστό ατόμων με αναπηρία και υπερβολική επιβάρυνση στεγαστικού κόστους», δηλαδή ατόμων που διαβιούν σε νοικοκυριά όπου οι  στεγαστικές του δαπάνες ξεπερνούν το 40% του διαθέσιμου εισοδήματός τους,  </w:t>
      </w:r>
      <w:r w:rsidR="00855965" w:rsidRPr="00960C83">
        <w:rPr>
          <w:rFonts w:ascii="Constantia" w:hAnsi="Constantia"/>
          <w:sz w:val="24"/>
          <w:szCs w:val="24"/>
          <w:lang w:val="el-GR" w:eastAsia="el-GR"/>
        </w:rPr>
        <w:t>ε</w:t>
      </w:r>
      <w:r w:rsidR="00085F68" w:rsidRPr="00960C83">
        <w:rPr>
          <w:rFonts w:ascii="Constantia" w:hAnsi="Constantia"/>
          <w:sz w:val="24"/>
          <w:szCs w:val="24"/>
          <w:lang w:val="el-GR" w:eastAsia="el-GR"/>
        </w:rPr>
        <w:t xml:space="preserve">νώ στα άτομα χωρίς αναπηρία μειώνεται </w:t>
      </w:r>
      <w:r w:rsidR="00855965" w:rsidRPr="00960C83">
        <w:rPr>
          <w:rFonts w:ascii="Constantia" w:hAnsi="Constantia"/>
          <w:sz w:val="24"/>
          <w:szCs w:val="24"/>
          <w:lang w:val="el-GR" w:eastAsia="el-GR"/>
        </w:rPr>
        <w:t xml:space="preserve">αθροιστικά </w:t>
      </w:r>
      <w:r w:rsidR="00085F68" w:rsidRPr="00960C83">
        <w:rPr>
          <w:rFonts w:ascii="Constantia" w:hAnsi="Constantia"/>
          <w:sz w:val="24"/>
          <w:szCs w:val="24"/>
          <w:lang w:val="el-GR" w:eastAsia="el-GR"/>
        </w:rPr>
        <w:t>κατά 15 μονάδες τη</w:t>
      </w:r>
      <w:r w:rsidR="00855965" w:rsidRPr="00960C83">
        <w:rPr>
          <w:rFonts w:ascii="Constantia" w:hAnsi="Constantia"/>
          <w:sz w:val="24"/>
          <w:szCs w:val="24"/>
          <w:lang w:val="el-GR" w:eastAsia="el-GR"/>
        </w:rPr>
        <w:t xml:space="preserve"> δεκαετία</w:t>
      </w:r>
      <w:r w:rsidR="00085F68" w:rsidRPr="00960C83">
        <w:rPr>
          <w:rFonts w:ascii="Constantia" w:hAnsi="Constantia"/>
          <w:sz w:val="24"/>
          <w:szCs w:val="24"/>
          <w:lang w:val="el-GR" w:eastAsia="el-GR"/>
        </w:rPr>
        <w:t xml:space="preserve"> αναφοράς (2016 έως 2025), στα άτομα με αναπηρία </w:t>
      </w:r>
      <w:r w:rsidR="00855965" w:rsidRPr="00960C83">
        <w:rPr>
          <w:rFonts w:ascii="Constantia" w:hAnsi="Constantia"/>
          <w:sz w:val="24"/>
          <w:szCs w:val="24"/>
          <w:lang w:val="el-GR" w:eastAsia="el-GR"/>
        </w:rPr>
        <w:t xml:space="preserve">η επιμονή του φαινομένου έχει ως αποτέλεσμα την </w:t>
      </w:r>
      <w:r w:rsidR="009358B3" w:rsidRPr="00960C83">
        <w:rPr>
          <w:rFonts w:ascii="Constantia" w:hAnsi="Constantia"/>
          <w:sz w:val="24"/>
          <w:szCs w:val="24"/>
          <w:lang w:val="el-GR" w:eastAsia="el-GR"/>
        </w:rPr>
        <w:t>αύξηση</w:t>
      </w:r>
      <w:r w:rsidR="00855965" w:rsidRPr="00960C83">
        <w:rPr>
          <w:rFonts w:ascii="Constantia" w:hAnsi="Constantia"/>
          <w:sz w:val="24"/>
          <w:szCs w:val="24"/>
          <w:lang w:val="el-GR" w:eastAsia="el-GR"/>
        </w:rPr>
        <w:t xml:space="preserve"> των στεγαστικών ανισοτήτων σε βάρος των ατόμων με αναπηρία.</w:t>
      </w:r>
    </w:p>
    <w:p w14:paraId="7D64BE44" w14:textId="78AD2B3B" w:rsidR="00085F68" w:rsidRPr="00960C83" w:rsidRDefault="00855965"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Παρότι ο δείκτης «Ποσοστό ατόμων με αναπηρία και υπερβολική επιβάρυνση στεγαστικού κόστους» καταγράφει μεν αποκλιμάκωση το διάστημα 2017 – 2021, διαγράφει εν τέλει νέα ανοδική πορεία και</w:t>
      </w:r>
      <w:r w:rsidR="00085F68" w:rsidRPr="00960C83">
        <w:rPr>
          <w:rFonts w:ascii="Constantia" w:hAnsi="Constantia"/>
          <w:sz w:val="24"/>
          <w:szCs w:val="24"/>
          <w:lang w:val="el-GR" w:eastAsia="el-GR"/>
        </w:rPr>
        <w:t xml:space="preserve"> δραματική επιδείνωση με την κορύφωση της πληθωριστικής κρίσης το 2022</w:t>
      </w:r>
      <w:r w:rsidRPr="00960C83">
        <w:rPr>
          <w:rFonts w:ascii="Constantia" w:hAnsi="Constantia"/>
          <w:sz w:val="24"/>
          <w:szCs w:val="24"/>
          <w:lang w:val="el-GR" w:eastAsia="el-GR"/>
        </w:rPr>
        <w:t xml:space="preserve">. Οι εξελίξεις της τετραετίας 2021-2025, αντιστρέφουν </w:t>
      </w:r>
      <w:r w:rsidR="00085F68" w:rsidRPr="00960C83">
        <w:rPr>
          <w:rFonts w:ascii="Constantia" w:hAnsi="Constantia"/>
          <w:sz w:val="24"/>
          <w:szCs w:val="24"/>
          <w:lang w:val="el-GR" w:eastAsia="el-GR"/>
        </w:rPr>
        <w:t xml:space="preserve">την πρόοδο της προηγούμενης πενταετίας επαναφέροντας την τιμή </w:t>
      </w:r>
      <w:r w:rsidRPr="00960C83">
        <w:rPr>
          <w:rFonts w:ascii="Constantia" w:hAnsi="Constantia"/>
          <w:sz w:val="24"/>
          <w:szCs w:val="24"/>
          <w:lang w:val="el-GR" w:eastAsia="el-GR"/>
        </w:rPr>
        <w:t xml:space="preserve">του δείκτη Υπερβολική επιβάρυνση στεγαστικού κόστους για τα άτομα με αναπηρία </w:t>
      </w:r>
      <w:r w:rsidR="00085F68" w:rsidRPr="00960C83">
        <w:rPr>
          <w:rFonts w:ascii="Constantia" w:hAnsi="Constantia"/>
          <w:sz w:val="24"/>
          <w:szCs w:val="24"/>
          <w:lang w:val="el-GR" w:eastAsia="el-GR"/>
        </w:rPr>
        <w:t>στ</w:t>
      </w:r>
      <w:r w:rsidRPr="00960C83">
        <w:rPr>
          <w:rFonts w:ascii="Constantia" w:hAnsi="Constantia"/>
          <w:sz w:val="24"/>
          <w:szCs w:val="24"/>
          <w:lang w:val="el-GR" w:eastAsia="el-GR"/>
        </w:rPr>
        <w:t xml:space="preserve">α υψηλά επίπεδα του </w:t>
      </w:r>
      <w:r w:rsidR="00085F68" w:rsidRPr="00960C83">
        <w:rPr>
          <w:rFonts w:ascii="Constantia" w:hAnsi="Constantia"/>
          <w:sz w:val="24"/>
          <w:szCs w:val="24"/>
          <w:lang w:val="el-GR" w:eastAsia="el-GR"/>
        </w:rPr>
        <w:t>2016.</w:t>
      </w:r>
    </w:p>
    <w:p w14:paraId="705FC1DB" w14:textId="77777777" w:rsidR="00855965" w:rsidRPr="00960C83" w:rsidRDefault="00855965"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Μάλιστα το</w:t>
      </w:r>
      <w:r w:rsidR="00085F68" w:rsidRPr="00960C83">
        <w:rPr>
          <w:rFonts w:ascii="Constantia" w:hAnsi="Constantia"/>
          <w:sz w:val="24"/>
          <w:szCs w:val="24"/>
          <w:lang w:val="el-GR" w:eastAsia="el-GR"/>
        </w:rPr>
        <w:t xml:space="preserve"> 2025 σημειώνεται η χειρότερη τιμή της εξεταζόμενης δεκαετίας</w:t>
      </w:r>
      <w:r w:rsidR="00D0700C" w:rsidRPr="00960C83">
        <w:rPr>
          <w:rFonts w:ascii="Constantia" w:hAnsi="Constantia"/>
          <w:sz w:val="24"/>
          <w:szCs w:val="24"/>
          <w:lang w:val="el-GR" w:eastAsia="el-GR"/>
        </w:rPr>
        <w:t xml:space="preserve">, με το </w:t>
      </w:r>
      <w:r w:rsidR="00085F68" w:rsidRPr="00960C83">
        <w:rPr>
          <w:rFonts w:ascii="Constantia" w:hAnsi="Constantia"/>
          <w:sz w:val="24"/>
          <w:szCs w:val="24"/>
          <w:lang w:val="el-GR" w:eastAsia="el-GR"/>
        </w:rPr>
        <w:t xml:space="preserve">«Ποσοστό </w:t>
      </w:r>
      <w:r w:rsidRPr="00960C83">
        <w:rPr>
          <w:rFonts w:ascii="Constantia" w:hAnsi="Constantia"/>
          <w:sz w:val="24"/>
          <w:szCs w:val="24"/>
          <w:lang w:val="el-GR" w:eastAsia="el-GR"/>
        </w:rPr>
        <w:t xml:space="preserve">των </w:t>
      </w:r>
      <w:r w:rsidR="00085F68" w:rsidRPr="00960C83">
        <w:rPr>
          <w:rFonts w:ascii="Constantia" w:hAnsi="Constantia"/>
          <w:sz w:val="24"/>
          <w:szCs w:val="24"/>
          <w:lang w:val="el-GR" w:eastAsia="el-GR"/>
        </w:rPr>
        <w:t xml:space="preserve">ατόμων με αναπηρία και υπερβολική επιβάρυνση </w:t>
      </w:r>
      <w:r w:rsidR="00D0700C" w:rsidRPr="00960C83">
        <w:rPr>
          <w:rFonts w:ascii="Constantia" w:hAnsi="Constantia"/>
          <w:sz w:val="24"/>
          <w:szCs w:val="24"/>
          <w:lang w:val="el-GR" w:eastAsia="el-GR"/>
        </w:rPr>
        <w:t>στεγαστικού κόστους</w:t>
      </w:r>
      <w:r w:rsidR="00085F68" w:rsidRPr="00960C83">
        <w:rPr>
          <w:rFonts w:ascii="Constantia" w:hAnsi="Constantia"/>
          <w:sz w:val="24"/>
          <w:szCs w:val="24"/>
          <w:lang w:val="el-GR" w:eastAsia="el-GR"/>
        </w:rPr>
        <w:t>»</w:t>
      </w:r>
      <w:r w:rsidR="00D0700C" w:rsidRPr="00960C83">
        <w:rPr>
          <w:rFonts w:ascii="Constantia" w:hAnsi="Constantia"/>
          <w:sz w:val="24"/>
          <w:szCs w:val="24"/>
          <w:lang w:val="el-GR" w:eastAsia="el-GR"/>
        </w:rPr>
        <w:t xml:space="preserve"> να αγγίζει το</w:t>
      </w:r>
      <w:r w:rsidR="00085F68" w:rsidRPr="00960C83">
        <w:rPr>
          <w:rFonts w:ascii="Constantia" w:hAnsi="Constantia"/>
          <w:sz w:val="24"/>
          <w:szCs w:val="24"/>
          <w:lang w:val="el-GR" w:eastAsia="el-GR"/>
        </w:rPr>
        <w:t xml:space="preserve"> 34,3%</w:t>
      </w:r>
      <w:r w:rsidRPr="00960C83">
        <w:rPr>
          <w:rFonts w:ascii="Constantia" w:hAnsi="Constantia"/>
          <w:sz w:val="24"/>
          <w:szCs w:val="24"/>
          <w:lang w:val="el-GR" w:eastAsia="el-GR"/>
        </w:rPr>
        <w:t>.</w:t>
      </w:r>
    </w:p>
    <w:p w14:paraId="772CF5DB" w14:textId="056F5F75" w:rsidR="00085F68" w:rsidRPr="002E31F3" w:rsidRDefault="00085F68" w:rsidP="00F773D3">
      <w:pPr>
        <w:spacing w:before="160"/>
        <w:jc w:val="both"/>
        <w:rPr>
          <w:rFonts w:ascii="Constantia" w:hAnsi="Constantia"/>
          <w:b/>
          <w:bCs/>
          <w:sz w:val="24"/>
          <w:szCs w:val="24"/>
          <w:u w:val="single"/>
          <w:lang w:val="el-GR" w:eastAsia="el-GR"/>
        </w:rPr>
      </w:pPr>
      <w:r w:rsidRPr="00960C83">
        <w:rPr>
          <w:rFonts w:ascii="Constantia" w:hAnsi="Constantia"/>
          <w:b/>
          <w:bCs/>
          <w:sz w:val="24"/>
          <w:szCs w:val="24"/>
          <w:u w:val="single"/>
          <w:lang w:val="el-GR" w:eastAsia="el-GR"/>
        </w:rPr>
        <w:t xml:space="preserve">Η Ελλάδα κατέχει τη χειρότερη θέση στην ΕΕ-27 στην υπερβολική επιβάρυνση </w:t>
      </w:r>
      <w:r w:rsidR="008759A2" w:rsidRPr="00960C83">
        <w:rPr>
          <w:rFonts w:ascii="Constantia" w:hAnsi="Constantia"/>
          <w:b/>
          <w:bCs/>
          <w:sz w:val="24"/>
          <w:szCs w:val="24"/>
          <w:u w:val="single"/>
          <w:lang w:val="el-GR" w:eastAsia="el-GR"/>
        </w:rPr>
        <w:t>στεγαστικού κόστους</w:t>
      </w:r>
    </w:p>
    <w:p w14:paraId="12E0BB50" w14:textId="6DF3011D"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Η Ελλάδα καταγράφει το υψηλότερο ποσοστό στεγαστικής επιβάρυνσης των ατόμων με αναπηρία μεταξύ των 27 κρατών-μελών, με την τιμή του δείκτη να απέχει σχεδόν 25 μονάδες από τον σταθμισμένο ευρωπαϊκό μέσο όρο που υπολογίζεται σε 9,9%.</w:t>
      </w:r>
    </w:p>
    <w:p w14:paraId="6AA3B9AF" w14:textId="1CADCF51" w:rsidR="008759A2" w:rsidRPr="002E31F3" w:rsidRDefault="008759A2" w:rsidP="00F773D3">
      <w:pPr>
        <w:spacing w:before="160"/>
        <w:jc w:val="both"/>
        <w:rPr>
          <w:rFonts w:ascii="Constantia" w:hAnsi="Constantia"/>
          <w:b/>
          <w:bCs/>
          <w:sz w:val="24"/>
          <w:szCs w:val="24"/>
          <w:u w:val="single"/>
          <w:lang w:val="el-GR" w:eastAsia="el-GR"/>
        </w:rPr>
      </w:pPr>
      <w:r w:rsidRPr="00960C83">
        <w:rPr>
          <w:rFonts w:ascii="Constantia" w:hAnsi="Constantia"/>
          <w:b/>
          <w:bCs/>
          <w:sz w:val="24"/>
          <w:szCs w:val="24"/>
          <w:u w:val="single"/>
          <w:lang w:val="el-GR" w:eastAsia="el-GR"/>
        </w:rPr>
        <w:t>Οι</w:t>
      </w:r>
      <w:r w:rsidR="00085F68" w:rsidRPr="00960C83">
        <w:rPr>
          <w:rFonts w:ascii="Constantia" w:hAnsi="Constantia"/>
          <w:b/>
          <w:bCs/>
          <w:sz w:val="24"/>
          <w:szCs w:val="24"/>
          <w:u w:val="single"/>
          <w:lang w:val="el-GR" w:eastAsia="el-GR"/>
        </w:rPr>
        <w:t xml:space="preserve"> μισοί </w:t>
      </w:r>
      <w:r w:rsidRPr="00960C83">
        <w:rPr>
          <w:rFonts w:ascii="Constantia" w:hAnsi="Constantia"/>
          <w:b/>
          <w:bCs/>
          <w:sz w:val="24"/>
          <w:szCs w:val="24"/>
          <w:u w:val="single"/>
          <w:lang w:val="el-GR" w:eastAsia="el-GR"/>
        </w:rPr>
        <w:t xml:space="preserve">πολίτες με αναπηρία </w:t>
      </w:r>
      <w:r w:rsidR="00085F68" w:rsidRPr="00960C83">
        <w:rPr>
          <w:rFonts w:ascii="Constantia" w:hAnsi="Constantia"/>
          <w:b/>
          <w:bCs/>
          <w:sz w:val="24"/>
          <w:szCs w:val="24"/>
          <w:u w:val="single"/>
          <w:lang w:val="el-GR" w:eastAsia="el-GR"/>
        </w:rPr>
        <w:t>αδυνατούν να πληρώσουν έγκαιρα το ενοίκιο ή το στεγαστικό τους &amp;</w:t>
      </w:r>
      <w:r w:rsidRPr="00960C83">
        <w:rPr>
          <w:rFonts w:ascii="Constantia" w:hAnsi="Constantia"/>
          <w:b/>
          <w:bCs/>
          <w:sz w:val="24"/>
          <w:szCs w:val="24"/>
          <w:u w:val="single"/>
          <w:lang w:val="el-GR" w:eastAsia="el-GR"/>
        </w:rPr>
        <w:t xml:space="preserve"> </w:t>
      </w:r>
      <w:r w:rsidR="00085F68" w:rsidRPr="00960C83">
        <w:rPr>
          <w:rFonts w:ascii="Constantia" w:hAnsi="Constantia"/>
          <w:b/>
          <w:bCs/>
          <w:sz w:val="24"/>
          <w:szCs w:val="24"/>
          <w:u w:val="single"/>
          <w:lang w:val="el-GR" w:eastAsia="el-GR"/>
        </w:rPr>
        <w:t xml:space="preserve">οι 4 στους 10 </w:t>
      </w:r>
      <w:r w:rsidRPr="00960C83">
        <w:rPr>
          <w:rFonts w:ascii="Constantia" w:hAnsi="Constantia"/>
          <w:b/>
          <w:bCs/>
          <w:sz w:val="24"/>
          <w:szCs w:val="24"/>
          <w:u w:val="single"/>
          <w:lang w:val="el-GR" w:eastAsia="el-GR"/>
        </w:rPr>
        <w:t xml:space="preserve">καθυστερούν </w:t>
      </w:r>
      <w:r w:rsidR="00184DBD">
        <w:rPr>
          <w:rFonts w:ascii="Constantia" w:hAnsi="Constantia"/>
          <w:b/>
          <w:bCs/>
          <w:sz w:val="24"/>
          <w:szCs w:val="24"/>
          <w:u w:val="single"/>
          <w:lang w:val="el-GR" w:eastAsia="el-GR"/>
        </w:rPr>
        <w:t>σ</w:t>
      </w:r>
      <w:r w:rsidRPr="00960C83">
        <w:rPr>
          <w:rFonts w:ascii="Constantia" w:hAnsi="Constantia"/>
          <w:b/>
          <w:bCs/>
          <w:sz w:val="24"/>
          <w:szCs w:val="24"/>
          <w:u w:val="single"/>
          <w:lang w:val="el-GR" w:eastAsia="el-GR"/>
        </w:rPr>
        <w:t>την πληρωμή των λογαριασμών</w:t>
      </w:r>
    </w:p>
    <w:p w14:paraId="5E5F46F1" w14:textId="472889A9"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Το ποσοστό των ατόμων με αναπηρία που καθυστέρησαν την πληρωμή ενοικίου ή στεγαστικού δανείου κατά τους τελευταίους 12 μήνες αυξήθηκε κατά 16 ποσοστιαίες μονάδες μέσα στην τετραετία 2021-2025, φτάνοντας στο 47,7%.</w:t>
      </w:r>
    </w:p>
    <w:p w14:paraId="083175BA" w14:textId="7DF6590C"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 xml:space="preserve">Το 2025, το 37,9% των ατόμων με αναπηρία καθυστερεί να πληρώσει τους λογαριασμούς κοινής ωφέλειας λόγω οικονομικής δυσκολίας, </w:t>
      </w:r>
      <w:r w:rsidR="008363EA" w:rsidRPr="00960C83">
        <w:rPr>
          <w:rFonts w:ascii="Constantia" w:hAnsi="Constantia"/>
          <w:sz w:val="24"/>
          <w:szCs w:val="24"/>
          <w:lang w:val="el-GR" w:eastAsia="el-GR"/>
        </w:rPr>
        <w:t xml:space="preserve">ποσοστό που είναι αυξημένο κατά 10 μονάδες σε σύγκριση με το </w:t>
      </w:r>
      <w:r w:rsidRPr="00960C83">
        <w:rPr>
          <w:rFonts w:ascii="Constantia" w:hAnsi="Constantia"/>
          <w:sz w:val="24"/>
          <w:szCs w:val="24"/>
          <w:lang w:val="el-GR" w:eastAsia="el-GR"/>
        </w:rPr>
        <w:t>2021.</w:t>
      </w:r>
    </w:p>
    <w:p w14:paraId="6C7E22CE" w14:textId="6EC32AED" w:rsidR="00085F68" w:rsidRDefault="00085F68" w:rsidP="00960C83">
      <w:pPr>
        <w:jc w:val="both"/>
        <w:rPr>
          <w:rFonts w:ascii="Constantia" w:hAnsi="Constantia"/>
          <w:b/>
          <w:bCs/>
          <w:sz w:val="24"/>
          <w:szCs w:val="24"/>
          <w:u w:val="single"/>
          <w:lang w:val="el-GR" w:eastAsia="el-GR"/>
        </w:rPr>
      </w:pPr>
      <w:r w:rsidRPr="00960C83">
        <w:rPr>
          <w:rFonts w:ascii="Constantia" w:hAnsi="Constantia"/>
          <w:b/>
          <w:bCs/>
          <w:sz w:val="24"/>
          <w:szCs w:val="24"/>
          <w:u w:val="single"/>
          <w:lang w:val="el-GR" w:eastAsia="el-GR"/>
        </w:rPr>
        <w:t xml:space="preserve">Η Ελλάδα </w:t>
      </w:r>
      <w:r w:rsidR="00E649C0">
        <w:rPr>
          <w:rFonts w:ascii="Constantia" w:hAnsi="Constantia"/>
          <w:b/>
          <w:bCs/>
          <w:sz w:val="24"/>
          <w:szCs w:val="24"/>
          <w:u w:val="single"/>
          <w:lang w:val="el-GR" w:eastAsia="el-GR"/>
        </w:rPr>
        <w:t xml:space="preserve">αποτελεί </w:t>
      </w:r>
      <w:r w:rsidRPr="00960C83">
        <w:rPr>
          <w:rFonts w:ascii="Constantia" w:hAnsi="Constantia"/>
          <w:b/>
          <w:bCs/>
          <w:sz w:val="24"/>
          <w:szCs w:val="24"/>
          <w:u w:val="single"/>
          <w:lang w:val="el-GR" w:eastAsia="el-GR"/>
        </w:rPr>
        <w:t xml:space="preserve">αρνητική εξαίρεση </w:t>
      </w:r>
      <w:r w:rsidR="003A528D" w:rsidRPr="00960C83">
        <w:rPr>
          <w:rFonts w:ascii="Constantia" w:hAnsi="Constantia"/>
          <w:b/>
          <w:bCs/>
          <w:sz w:val="24"/>
          <w:szCs w:val="24"/>
          <w:u w:val="single"/>
          <w:lang w:val="el-GR" w:eastAsia="el-GR"/>
        </w:rPr>
        <w:t xml:space="preserve">και </w:t>
      </w:r>
      <w:r w:rsidRPr="00960C83">
        <w:rPr>
          <w:rFonts w:ascii="Constantia" w:hAnsi="Constantia"/>
          <w:b/>
          <w:bCs/>
          <w:sz w:val="24"/>
          <w:szCs w:val="24"/>
          <w:u w:val="single"/>
          <w:lang w:val="el-GR" w:eastAsia="el-GR"/>
        </w:rPr>
        <w:t>στον σύνθετο δείκτη «Ποσοστό ατόμων με αναπηρία και ληξιπρόθεσμες οφειλές» στην ΕΕ των 27</w:t>
      </w:r>
    </w:p>
    <w:p w14:paraId="3E0A288E" w14:textId="1BF2653D" w:rsidR="00085F68" w:rsidRPr="00F773D3" w:rsidRDefault="00085F68" w:rsidP="00960C83">
      <w:pPr>
        <w:jc w:val="both"/>
        <w:rPr>
          <w:rFonts w:ascii="Constantia" w:eastAsia="Constantia" w:hAnsi="Constantia" w:cs="Constantia"/>
          <w:i/>
          <w:color w:val="404040" w:themeColor="text1" w:themeTint="BF"/>
          <w:sz w:val="24"/>
          <w:szCs w:val="24"/>
          <w:lang w:val="el-GR"/>
        </w:rPr>
      </w:pPr>
      <w:r w:rsidRPr="00F773D3">
        <w:rPr>
          <w:rFonts w:ascii="Constantia" w:eastAsia="Constantia" w:hAnsi="Constantia" w:cs="Constantia"/>
          <w:i/>
          <w:color w:val="404040" w:themeColor="text1" w:themeTint="BF"/>
          <w:sz w:val="24"/>
          <w:szCs w:val="24"/>
          <w:lang w:val="el-GR"/>
        </w:rPr>
        <w:t xml:space="preserve">Ο σύνθετος δείκτης της </w:t>
      </w:r>
      <w:r w:rsidRPr="00F773D3">
        <w:rPr>
          <w:rFonts w:ascii="Constantia" w:eastAsia="Constantia" w:hAnsi="Constantia" w:cs="Constantia"/>
          <w:i/>
          <w:color w:val="404040" w:themeColor="text1" w:themeTint="BF"/>
          <w:sz w:val="24"/>
          <w:szCs w:val="24"/>
        </w:rPr>
        <w:t>Eurostat</w:t>
      </w:r>
      <w:r w:rsidRPr="00F773D3">
        <w:rPr>
          <w:rFonts w:ascii="Constantia" w:eastAsia="Constantia" w:hAnsi="Constantia" w:cs="Constantia"/>
          <w:i/>
          <w:color w:val="404040" w:themeColor="text1" w:themeTint="BF"/>
          <w:sz w:val="24"/>
          <w:szCs w:val="24"/>
          <w:lang w:val="el-GR"/>
        </w:rPr>
        <w:t xml:space="preserve"> «Ποσοστό ατόμων με ληξιπρόθεσμες οφειλές» συνυπολογίζει την αδυναμία του πληθυσμού να ανταπεξέλθει εγκαίρως στην πληρωμή ενοικίου ή στεγαστικού δανείου, λογαριασμών κοινής ωφέλειας </w:t>
      </w:r>
      <w:r w:rsidR="004829E3" w:rsidRPr="00F773D3">
        <w:rPr>
          <w:rFonts w:ascii="Constantia" w:eastAsia="Constantia" w:hAnsi="Constantia" w:cs="Constantia"/>
          <w:i/>
          <w:color w:val="404040" w:themeColor="text1" w:themeTint="BF"/>
          <w:sz w:val="24"/>
          <w:szCs w:val="24"/>
          <w:lang w:val="el-GR"/>
        </w:rPr>
        <w:t xml:space="preserve">καθώς </w:t>
      </w:r>
      <w:r w:rsidRPr="00F773D3">
        <w:rPr>
          <w:rFonts w:ascii="Constantia" w:eastAsia="Constantia" w:hAnsi="Constantia" w:cs="Constantia"/>
          <w:i/>
          <w:color w:val="404040" w:themeColor="text1" w:themeTint="BF"/>
          <w:sz w:val="24"/>
          <w:szCs w:val="24"/>
          <w:lang w:val="el-GR"/>
        </w:rPr>
        <w:t xml:space="preserve">και άλλων </w:t>
      </w:r>
      <w:r w:rsidR="004829E3" w:rsidRPr="00F773D3">
        <w:rPr>
          <w:rFonts w:ascii="Constantia" w:eastAsia="Constantia" w:hAnsi="Constantia" w:cs="Constantia"/>
          <w:i/>
          <w:color w:val="404040" w:themeColor="text1" w:themeTint="BF"/>
          <w:sz w:val="24"/>
          <w:szCs w:val="24"/>
          <w:lang w:val="el-GR"/>
        </w:rPr>
        <w:t xml:space="preserve">πάγιων </w:t>
      </w:r>
      <w:r w:rsidRPr="00F773D3">
        <w:rPr>
          <w:rFonts w:ascii="Constantia" w:eastAsia="Constantia" w:hAnsi="Constantia" w:cs="Constantia"/>
          <w:i/>
          <w:color w:val="404040" w:themeColor="text1" w:themeTint="BF"/>
          <w:sz w:val="24"/>
          <w:szCs w:val="24"/>
          <w:lang w:val="el-GR"/>
        </w:rPr>
        <w:t>πληρωμών, όπως δόσεων πιστωτικών καρτών ή καταναλωτικών δανείων.</w:t>
      </w:r>
    </w:p>
    <w:p w14:paraId="26C2A2D5" w14:textId="561D6EF6"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Το 2025 το 44,6% των ατόμων με αναπηρία είχε ληξιπρόθεσμες οφειλές.</w:t>
      </w:r>
    </w:p>
    <w:p w14:paraId="2BC83B8B" w14:textId="16FDB2A7" w:rsidR="00960C83" w:rsidRPr="00F773D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Το ποσοστό αυτό βρίσκεται σε επίπεδο υπερτετραπλάσιο από τον ευρωπαϊκό μέσο όρο (10,1%), και σχεδόν διπλάσιο από της Βουλγαρίας και της Ρουμανίας που ακολουθούν την Ελλάδα σε φθίνουσα σειρά κατάταξης.</w:t>
      </w:r>
    </w:p>
    <w:p w14:paraId="1CDFA614" w14:textId="2F60E399" w:rsidR="00085F68" w:rsidRPr="00960C83" w:rsidRDefault="00E649C0" w:rsidP="00F773D3">
      <w:pPr>
        <w:spacing w:before="160"/>
        <w:jc w:val="both"/>
        <w:rPr>
          <w:rFonts w:ascii="Constantia" w:hAnsi="Constantia"/>
          <w:b/>
          <w:bCs/>
          <w:sz w:val="24"/>
          <w:szCs w:val="24"/>
          <w:u w:val="single"/>
          <w:lang w:val="el-GR" w:eastAsia="el-GR"/>
        </w:rPr>
      </w:pPr>
      <w:r>
        <w:rPr>
          <w:rFonts w:ascii="Constantia" w:hAnsi="Constantia"/>
          <w:b/>
          <w:bCs/>
          <w:sz w:val="24"/>
          <w:szCs w:val="24"/>
          <w:u w:val="single"/>
          <w:lang w:val="el-GR" w:eastAsia="el-GR"/>
        </w:rPr>
        <w:t>Επιμονή</w:t>
      </w:r>
      <w:r w:rsidR="00085F68" w:rsidRPr="00960C83">
        <w:rPr>
          <w:rFonts w:ascii="Constantia" w:hAnsi="Constantia"/>
          <w:b/>
          <w:bCs/>
          <w:sz w:val="24"/>
          <w:szCs w:val="24"/>
          <w:u w:val="single"/>
          <w:lang w:val="el-GR" w:eastAsia="el-GR"/>
        </w:rPr>
        <w:t xml:space="preserve"> της ενεργειακής φτώχειας και έλλειμμα ενεργειακής αναβάθμισης</w:t>
      </w:r>
    </w:p>
    <w:p w14:paraId="4AF320E3" w14:textId="4236AF3B"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Το 25,2% των ατόμων με αναπηρία αντιμετωπίζει οικονομική αδυναμία για ικανοποιητική θέρμανση στην κατοικία του.</w:t>
      </w:r>
    </w:p>
    <w:p w14:paraId="5F24486F" w14:textId="46043742" w:rsidR="00960C83" w:rsidRPr="00F773D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Μόνο το 9,6% του δείγματος έχει πραγματοποιήσει παρεμβάσεις βελτίωσης της ενεργειακής απόδοσης της κύριας κατοικίας τα τελευταία 5 χρόνια, ενώ το 47% των ατόμων με αναπηρία δηλών</w:t>
      </w:r>
      <w:r w:rsidR="000D3CAB" w:rsidRPr="00960C83">
        <w:rPr>
          <w:rFonts w:ascii="Constantia" w:hAnsi="Constantia"/>
          <w:sz w:val="24"/>
          <w:szCs w:val="24"/>
          <w:lang w:val="el-GR" w:eastAsia="el-GR"/>
        </w:rPr>
        <w:t>ουν</w:t>
      </w:r>
      <w:r w:rsidRPr="00960C83">
        <w:rPr>
          <w:rFonts w:ascii="Constantia" w:hAnsi="Constantia"/>
          <w:sz w:val="24"/>
          <w:szCs w:val="24"/>
          <w:lang w:val="el-GR" w:eastAsia="el-GR"/>
        </w:rPr>
        <w:t xml:space="preserve"> ότι δεν έχ</w:t>
      </w:r>
      <w:r w:rsidR="000D3CAB" w:rsidRPr="00960C83">
        <w:rPr>
          <w:rFonts w:ascii="Constantia" w:hAnsi="Constantia"/>
          <w:sz w:val="24"/>
          <w:szCs w:val="24"/>
          <w:lang w:val="el-GR" w:eastAsia="el-GR"/>
        </w:rPr>
        <w:t xml:space="preserve">ουν </w:t>
      </w:r>
      <w:r w:rsidRPr="00960C83">
        <w:rPr>
          <w:rFonts w:ascii="Constantia" w:hAnsi="Constantia"/>
          <w:sz w:val="24"/>
          <w:szCs w:val="24"/>
          <w:lang w:val="el-GR" w:eastAsia="el-GR"/>
        </w:rPr>
        <w:t xml:space="preserve">πραγματοποιήσει ενεργειακή αναβάθμιση στην κατοικία </w:t>
      </w:r>
      <w:r w:rsidR="000D3CAB" w:rsidRPr="00960C83">
        <w:rPr>
          <w:rFonts w:ascii="Constantia" w:hAnsi="Constantia"/>
          <w:sz w:val="24"/>
          <w:szCs w:val="24"/>
          <w:lang w:val="el-GR" w:eastAsia="el-GR"/>
        </w:rPr>
        <w:t xml:space="preserve">τους </w:t>
      </w:r>
      <w:r w:rsidRPr="00960C83">
        <w:rPr>
          <w:rFonts w:ascii="Constantia" w:hAnsi="Constantia"/>
          <w:sz w:val="24"/>
          <w:szCs w:val="24"/>
          <w:lang w:val="el-GR" w:eastAsia="el-GR"/>
        </w:rPr>
        <w:t>παρότι</w:t>
      </w:r>
      <w:r w:rsidR="000D3CAB" w:rsidRPr="00960C83">
        <w:rPr>
          <w:rFonts w:ascii="Constantia" w:hAnsi="Constantia"/>
          <w:sz w:val="24"/>
          <w:szCs w:val="24"/>
          <w:lang w:val="el-GR" w:eastAsia="el-GR"/>
        </w:rPr>
        <w:t xml:space="preserve">, </w:t>
      </w:r>
      <w:r w:rsidRPr="00960C83">
        <w:rPr>
          <w:rFonts w:ascii="Constantia" w:hAnsi="Constantia"/>
          <w:sz w:val="24"/>
          <w:szCs w:val="24"/>
          <w:lang w:val="el-GR" w:eastAsia="el-GR"/>
        </w:rPr>
        <w:t>αυτή κρίνεται αναγκαία.</w:t>
      </w:r>
    </w:p>
    <w:p w14:paraId="25EDDB26" w14:textId="19B01941" w:rsidR="00085F68" w:rsidRPr="002E31F3" w:rsidRDefault="00085F68" w:rsidP="00F773D3">
      <w:pPr>
        <w:spacing w:before="160"/>
        <w:jc w:val="both"/>
        <w:rPr>
          <w:rFonts w:ascii="Constantia" w:hAnsi="Constantia"/>
          <w:b/>
          <w:bCs/>
          <w:sz w:val="24"/>
          <w:szCs w:val="24"/>
          <w:u w:val="single"/>
          <w:lang w:val="el-GR" w:eastAsia="el-GR"/>
        </w:rPr>
      </w:pPr>
      <w:r w:rsidRPr="00960C83">
        <w:rPr>
          <w:rFonts w:ascii="Constantia" w:hAnsi="Constantia"/>
          <w:b/>
          <w:bCs/>
          <w:sz w:val="24"/>
          <w:szCs w:val="24"/>
          <w:u w:val="single"/>
          <w:lang w:val="el-GR" w:eastAsia="el-GR"/>
        </w:rPr>
        <w:t>Η μη προσβασιμότητα της κατοικίας αποτελεί κρίσιμη διάσταση της στεγαστικής φτώχειας</w:t>
      </w:r>
    </w:p>
    <w:p w14:paraId="30FD1673" w14:textId="3D6AC439"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Την τετραετία 2021-2025 καταγράφεται επιδείνωση και στον δείκτη «Προσβασιμότητα κατοικίας».</w:t>
      </w:r>
    </w:p>
    <w:p w14:paraId="785304DA" w14:textId="43F68FEE" w:rsidR="00085F68" w:rsidRPr="00960C83" w:rsidRDefault="00085F68" w:rsidP="00F773D3">
      <w:pPr>
        <w:pStyle w:val="af3"/>
        <w:numPr>
          <w:ilvl w:val="0"/>
          <w:numId w:val="7"/>
        </w:numPr>
        <w:spacing w:after="80"/>
        <w:ind w:left="425" w:hanging="425"/>
        <w:contextualSpacing w:val="0"/>
        <w:jc w:val="both"/>
        <w:rPr>
          <w:rFonts w:ascii="Constantia" w:hAnsi="Constantia"/>
          <w:sz w:val="24"/>
          <w:szCs w:val="24"/>
          <w:lang w:val="el-GR" w:eastAsia="el-GR"/>
        </w:rPr>
      </w:pPr>
      <w:r w:rsidRPr="00960C83">
        <w:rPr>
          <w:rFonts w:ascii="Constantia" w:hAnsi="Constantia"/>
          <w:sz w:val="24"/>
          <w:szCs w:val="24"/>
          <w:lang w:val="el-GR" w:eastAsia="el-GR"/>
        </w:rPr>
        <w:t>Το 2025, το 70,5% των νοικοκυριών που έχουν μέλη με ανάγκες φροντίδας</w:t>
      </w:r>
      <w:r w:rsidR="000D3CAB" w:rsidRPr="00960C83">
        <w:rPr>
          <w:rFonts w:ascii="Constantia" w:hAnsi="Constantia"/>
          <w:sz w:val="24"/>
          <w:szCs w:val="24"/>
          <w:lang w:val="el-GR" w:eastAsia="el-GR"/>
        </w:rPr>
        <w:t xml:space="preserve"> και </w:t>
      </w:r>
      <w:r w:rsidRPr="00960C83">
        <w:rPr>
          <w:rFonts w:ascii="Constantia" w:hAnsi="Constantia"/>
          <w:sz w:val="24"/>
          <w:szCs w:val="24"/>
          <w:lang w:val="el-GR" w:eastAsia="el-GR"/>
        </w:rPr>
        <w:t xml:space="preserve">υποστήριξης δεν έχει πραγματοποιήσει αναγκαίες παρεμβάσεις προσβασιμότητας, έναντι </w:t>
      </w:r>
      <w:r w:rsidR="000D3CAB" w:rsidRPr="00960C83">
        <w:rPr>
          <w:rFonts w:ascii="Constantia" w:hAnsi="Constantia"/>
          <w:sz w:val="24"/>
          <w:szCs w:val="24"/>
          <w:lang w:val="el-GR" w:eastAsia="el-GR"/>
        </w:rPr>
        <w:t xml:space="preserve">αντίστοιχου </w:t>
      </w:r>
      <w:r w:rsidRPr="00960C83">
        <w:rPr>
          <w:rFonts w:ascii="Constantia" w:hAnsi="Constantia"/>
          <w:sz w:val="24"/>
          <w:szCs w:val="24"/>
          <w:lang w:val="el-GR" w:eastAsia="el-GR"/>
        </w:rPr>
        <w:t xml:space="preserve">ποσοστού </w:t>
      </w:r>
      <w:r w:rsidR="000D3CAB" w:rsidRPr="00960C83">
        <w:rPr>
          <w:rFonts w:ascii="Constantia" w:hAnsi="Constantia"/>
          <w:sz w:val="24"/>
          <w:szCs w:val="24"/>
          <w:lang w:val="el-GR" w:eastAsia="el-GR"/>
        </w:rPr>
        <w:t xml:space="preserve">της τάξεως του </w:t>
      </w:r>
      <w:r w:rsidRPr="00960C83">
        <w:rPr>
          <w:rFonts w:ascii="Constantia" w:hAnsi="Constantia"/>
          <w:sz w:val="24"/>
          <w:szCs w:val="24"/>
          <w:lang w:val="el-GR" w:eastAsia="el-GR"/>
        </w:rPr>
        <w:t>58% που καταγράφηκε το 2021.</w:t>
      </w:r>
    </w:p>
    <w:p w14:paraId="273E5D7E" w14:textId="77777777" w:rsidR="007341FB" w:rsidRPr="007341FB" w:rsidRDefault="007341FB" w:rsidP="007341FB">
      <w:pPr>
        <w:rPr>
          <w:lang w:val="el-GR"/>
        </w:rPr>
      </w:pPr>
    </w:p>
    <w:bookmarkEnd w:id="1"/>
    <w:p w14:paraId="0BB4CB0B" w14:textId="13DCDDAC" w:rsidR="001B7609" w:rsidRDefault="001B7609">
      <w:pPr>
        <w:spacing w:after="0" w:line="240" w:lineRule="auto"/>
        <w:rPr>
          <w:lang w:val="el-GR"/>
        </w:rPr>
      </w:pPr>
      <w:r>
        <w:rPr>
          <w:lang w:val="el-GR"/>
        </w:rPr>
        <w:br w:type="page"/>
      </w:r>
    </w:p>
    <w:p w14:paraId="212851BE" w14:textId="2735E5CE" w:rsidR="007D51AE" w:rsidRPr="00CC2A02" w:rsidRDefault="00B44236" w:rsidP="00F773D3">
      <w:pPr>
        <w:pStyle w:val="10"/>
        <w:numPr>
          <w:ilvl w:val="0"/>
          <w:numId w:val="0"/>
        </w:numPr>
        <w:spacing w:before="360" w:after="480"/>
        <w:jc w:val="center"/>
        <w:rPr>
          <w:b/>
          <w:bCs/>
          <w:color w:val="000000" w:themeColor="text1"/>
          <w:u w:val="single"/>
          <w:lang w:val="el-GR"/>
        </w:rPr>
      </w:pPr>
      <w:bookmarkStart w:id="3" w:name="_Toc235457002"/>
      <w:r w:rsidRPr="00CC2A02">
        <w:rPr>
          <w:b/>
          <w:bCs/>
          <w:color w:val="000000" w:themeColor="text1"/>
          <w:u w:val="single"/>
          <w:lang w:val="el-GR"/>
        </w:rPr>
        <w:t>Β</w:t>
      </w:r>
      <w:r w:rsidR="00CE199A">
        <w:rPr>
          <w:b/>
          <w:bCs/>
          <w:color w:val="000000" w:themeColor="text1"/>
          <w:u w:val="single"/>
          <w:lang w:val="el-GR"/>
        </w:rPr>
        <w:t>ασικά Συμπεράσματα</w:t>
      </w:r>
      <w:bookmarkEnd w:id="3"/>
    </w:p>
    <w:tbl>
      <w:tblPr>
        <w:tblStyle w:val="af"/>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BF1DE"/>
        <w:tblLook w:val="04A0" w:firstRow="1" w:lastRow="0" w:firstColumn="1" w:lastColumn="0" w:noHBand="0" w:noVBand="1"/>
      </w:tblPr>
      <w:tblGrid>
        <w:gridCol w:w="8494"/>
      </w:tblGrid>
      <w:tr w:rsidR="00B44236" w:rsidRPr="00E7208C" w14:paraId="7CFABFE1" w14:textId="77777777" w:rsidTr="001B7609">
        <w:tc>
          <w:tcPr>
            <w:tcW w:w="8777" w:type="dxa"/>
            <w:shd w:val="clear" w:color="auto" w:fill="F2F2F2" w:themeFill="background1" w:themeFillShade="F2"/>
          </w:tcPr>
          <w:p w14:paraId="00799C84" w14:textId="719280BA" w:rsidR="007D4181" w:rsidRPr="002E31F3" w:rsidRDefault="007D4181" w:rsidP="00F773D3">
            <w:pPr>
              <w:jc w:val="both"/>
              <w:rPr>
                <w:rFonts w:ascii="Constantia" w:hAnsi="Constantia"/>
                <w:sz w:val="24"/>
                <w:szCs w:val="24"/>
                <w:lang w:val="el-GR"/>
              </w:rPr>
            </w:pPr>
            <w:bookmarkStart w:id="4" w:name="_Hlk185526246"/>
            <w:r w:rsidRPr="002910B5">
              <w:rPr>
                <w:rFonts w:ascii="Constantia" w:hAnsi="Constantia"/>
                <w:sz w:val="24"/>
                <w:szCs w:val="24"/>
                <w:lang w:val="el-GR"/>
              </w:rPr>
              <w:t xml:space="preserve">Τα στοιχεία του παρόντος δελτίου τεκμηριώνουν τη στενή σχέση της αναπηρίας με τη στεγαστική φτώχεια. Η στεγαστική κρίση για τα άτομα με αναπηρία είναι δομική και γενικευμένη. Η Ελλάδα καταγράφει διαχρονικά τις χειρότερες επιδόσεις στην Ευρωπαϊκή Ένωση στους κρίσιμους δείκτες </w:t>
            </w:r>
            <w:r w:rsidR="00D93B4E" w:rsidRPr="002910B5">
              <w:rPr>
                <w:rFonts w:ascii="Constantia" w:hAnsi="Constantia"/>
                <w:sz w:val="24"/>
                <w:szCs w:val="24"/>
                <w:lang w:val="el-GR"/>
              </w:rPr>
              <w:t xml:space="preserve">της </w:t>
            </w:r>
            <w:r w:rsidR="00EB3D4F" w:rsidRPr="002910B5">
              <w:rPr>
                <w:rFonts w:ascii="Constantia" w:hAnsi="Constantia"/>
                <w:sz w:val="24"/>
                <w:szCs w:val="24"/>
                <w:lang w:val="el-GR"/>
              </w:rPr>
              <w:t>υπερβολικής επιβάρυνσης από το στεγαστικό κόστος</w:t>
            </w:r>
            <w:r w:rsidRPr="002910B5">
              <w:rPr>
                <w:rFonts w:ascii="Constantia" w:hAnsi="Constantia"/>
                <w:sz w:val="24"/>
                <w:szCs w:val="24"/>
                <w:lang w:val="el-GR"/>
              </w:rPr>
              <w:t xml:space="preserve">, </w:t>
            </w:r>
            <w:r w:rsidR="00D93B4E" w:rsidRPr="002910B5">
              <w:rPr>
                <w:rFonts w:ascii="Constantia" w:hAnsi="Constantia"/>
                <w:sz w:val="24"/>
                <w:szCs w:val="24"/>
                <w:lang w:val="el-GR"/>
              </w:rPr>
              <w:t xml:space="preserve">των </w:t>
            </w:r>
            <w:r w:rsidRPr="002910B5">
              <w:rPr>
                <w:rFonts w:ascii="Constantia" w:hAnsi="Constantia"/>
                <w:sz w:val="24"/>
                <w:szCs w:val="24"/>
                <w:lang w:val="el-GR"/>
              </w:rPr>
              <w:t xml:space="preserve">ληξιπρόθεσμων οφειλών και </w:t>
            </w:r>
            <w:r w:rsidR="00D93B4E" w:rsidRPr="002910B5">
              <w:rPr>
                <w:rFonts w:ascii="Constantia" w:hAnsi="Constantia"/>
                <w:sz w:val="24"/>
                <w:szCs w:val="24"/>
                <w:lang w:val="el-GR"/>
              </w:rPr>
              <w:t xml:space="preserve">της </w:t>
            </w:r>
            <w:r w:rsidRPr="002910B5">
              <w:rPr>
                <w:rFonts w:ascii="Constantia" w:hAnsi="Constantia"/>
                <w:sz w:val="24"/>
                <w:szCs w:val="24"/>
                <w:lang w:val="el-GR"/>
              </w:rPr>
              <w:t xml:space="preserve">ενεργειακής φτώχειας </w:t>
            </w:r>
            <w:r w:rsidR="00D93B4E" w:rsidRPr="002910B5">
              <w:rPr>
                <w:rFonts w:ascii="Constantia" w:hAnsi="Constantia"/>
                <w:sz w:val="24"/>
                <w:szCs w:val="24"/>
                <w:lang w:val="el-GR"/>
              </w:rPr>
              <w:t xml:space="preserve">των ατόμων με αναπηρία, </w:t>
            </w:r>
            <w:r w:rsidRPr="002910B5">
              <w:rPr>
                <w:rFonts w:ascii="Constantia" w:hAnsi="Constantia"/>
                <w:sz w:val="24"/>
                <w:szCs w:val="24"/>
                <w:lang w:val="el-GR"/>
              </w:rPr>
              <w:t xml:space="preserve">απέχοντας </w:t>
            </w:r>
            <w:r w:rsidR="00D93B4E" w:rsidRPr="002910B5">
              <w:rPr>
                <w:rFonts w:ascii="Constantia" w:hAnsi="Constantia"/>
                <w:sz w:val="24"/>
                <w:szCs w:val="24"/>
                <w:lang w:val="el-GR"/>
              </w:rPr>
              <w:t xml:space="preserve">μάλιστα </w:t>
            </w:r>
            <w:r w:rsidRPr="002910B5">
              <w:rPr>
                <w:rFonts w:ascii="Constantia" w:hAnsi="Constantia"/>
                <w:sz w:val="24"/>
                <w:szCs w:val="24"/>
                <w:lang w:val="el-GR"/>
              </w:rPr>
              <w:t xml:space="preserve">μακράν από </w:t>
            </w:r>
            <w:r w:rsidR="00D93B4E" w:rsidRPr="002910B5">
              <w:rPr>
                <w:rFonts w:ascii="Constantia" w:hAnsi="Constantia"/>
                <w:sz w:val="24"/>
                <w:szCs w:val="24"/>
                <w:lang w:val="el-GR"/>
              </w:rPr>
              <w:t>τα μέσα επίπεδα</w:t>
            </w:r>
            <w:r w:rsidRPr="002910B5">
              <w:rPr>
                <w:rFonts w:ascii="Constantia" w:hAnsi="Constantia"/>
                <w:sz w:val="24"/>
                <w:szCs w:val="24"/>
                <w:lang w:val="el-GR"/>
              </w:rPr>
              <w:t xml:space="preserve"> της ΕΕ των 27.</w:t>
            </w:r>
          </w:p>
          <w:p w14:paraId="2CD7C671" w14:textId="64FC7367" w:rsidR="00B76383" w:rsidRPr="002E31F3" w:rsidRDefault="009477FB" w:rsidP="00F773D3">
            <w:pPr>
              <w:jc w:val="both"/>
              <w:rPr>
                <w:rFonts w:ascii="Constantia" w:hAnsi="Constantia"/>
                <w:sz w:val="24"/>
                <w:szCs w:val="24"/>
                <w:lang w:val="el-GR"/>
              </w:rPr>
            </w:pPr>
            <w:r w:rsidRPr="002910B5">
              <w:rPr>
                <w:rFonts w:ascii="Constantia" w:hAnsi="Constantia"/>
                <w:sz w:val="24"/>
                <w:szCs w:val="24"/>
                <w:lang w:val="el-GR"/>
              </w:rPr>
              <w:t xml:space="preserve">Το αποτύπωμα της δεκαετίας 2016-2025 στο δικαίωμα των ατόμων με αναπηρία σε ποιοτική, προσβάσιμη και προσιτή στέγη είναι </w:t>
            </w:r>
            <w:r w:rsidR="00BD7AAC" w:rsidRPr="002910B5">
              <w:rPr>
                <w:rFonts w:ascii="Constantia" w:hAnsi="Constantia"/>
                <w:sz w:val="24"/>
                <w:szCs w:val="24"/>
                <w:lang w:val="el-GR"/>
              </w:rPr>
              <w:t>τελικά</w:t>
            </w:r>
            <w:r w:rsidR="00B76383" w:rsidRPr="002910B5">
              <w:rPr>
                <w:rFonts w:ascii="Constantia" w:hAnsi="Constantia"/>
                <w:sz w:val="24"/>
                <w:szCs w:val="24"/>
                <w:lang w:val="el-GR"/>
              </w:rPr>
              <w:t xml:space="preserve"> </w:t>
            </w:r>
            <w:r w:rsidRPr="002910B5">
              <w:rPr>
                <w:rFonts w:ascii="Constantia" w:hAnsi="Constantia"/>
                <w:sz w:val="24"/>
                <w:szCs w:val="24"/>
                <w:lang w:val="el-GR"/>
              </w:rPr>
              <w:t>δυσμενές</w:t>
            </w:r>
            <w:r w:rsidR="00B76383" w:rsidRPr="002910B5">
              <w:rPr>
                <w:rFonts w:ascii="Constantia" w:hAnsi="Constantia"/>
                <w:sz w:val="24"/>
                <w:szCs w:val="24"/>
                <w:lang w:val="el-GR"/>
              </w:rPr>
              <w:t>.</w:t>
            </w:r>
          </w:p>
          <w:p w14:paraId="02242DFE" w14:textId="61D8558A" w:rsidR="009477FB" w:rsidRPr="002E31F3" w:rsidRDefault="00BD7AAC" w:rsidP="00F773D3">
            <w:pPr>
              <w:jc w:val="both"/>
              <w:rPr>
                <w:rFonts w:ascii="Constantia" w:hAnsi="Constantia"/>
                <w:sz w:val="24"/>
                <w:szCs w:val="24"/>
                <w:lang w:val="el-GR"/>
              </w:rPr>
            </w:pPr>
            <w:r w:rsidRPr="002910B5">
              <w:rPr>
                <w:rFonts w:ascii="Constantia" w:hAnsi="Constantia"/>
                <w:sz w:val="24"/>
                <w:szCs w:val="24"/>
                <w:lang w:val="el-GR"/>
              </w:rPr>
              <w:t xml:space="preserve">Παρά τις </w:t>
            </w:r>
            <w:r w:rsidR="009477FB" w:rsidRPr="002910B5">
              <w:rPr>
                <w:rFonts w:ascii="Constantia" w:hAnsi="Constantia"/>
                <w:sz w:val="24"/>
                <w:szCs w:val="24"/>
                <w:lang w:val="el-GR"/>
              </w:rPr>
              <w:t xml:space="preserve">θετικές τάσεις </w:t>
            </w:r>
            <w:r w:rsidR="006D7547" w:rsidRPr="002910B5">
              <w:rPr>
                <w:rFonts w:ascii="Constantia" w:hAnsi="Constantia"/>
                <w:sz w:val="24"/>
                <w:szCs w:val="24"/>
                <w:lang w:val="el-GR"/>
              </w:rPr>
              <w:t xml:space="preserve">που διαφάνηκαν </w:t>
            </w:r>
            <w:r w:rsidR="009477FB" w:rsidRPr="002910B5">
              <w:rPr>
                <w:rFonts w:ascii="Constantia" w:hAnsi="Constantia"/>
                <w:sz w:val="24"/>
                <w:szCs w:val="24"/>
                <w:lang w:val="el-GR"/>
              </w:rPr>
              <w:t xml:space="preserve">την πρώτη πενταετία </w:t>
            </w:r>
            <w:r w:rsidR="00B76383" w:rsidRPr="002910B5">
              <w:rPr>
                <w:rFonts w:ascii="Constantia" w:hAnsi="Constantia"/>
                <w:sz w:val="24"/>
                <w:szCs w:val="24"/>
                <w:lang w:val="el-GR"/>
              </w:rPr>
              <w:t>της εξεταζόμενης περιόδου</w:t>
            </w:r>
            <w:r w:rsidRPr="002910B5">
              <w:rPr>
                <w:rFonts w:ascii="Constantia" w:hAnsi="Constantia"/>
                <w:sz w:val="24"/>
                <w:szCs w:val="24"/>
                <w:lang w:val="el-GR"/>
              </w:rPr>
              <w:t xml:space="preserve">, αυτές </w:t>
            </w:r>
            <w:r w:rsidR="009477FB" w:rsidRPr="002910B5">
              <w:rPr>
                <w:rFonts w:ascii="Constantia" w:hAnsi="Constantia"/>
                <w:sz w:val="24"/>
                <w:szCs w:val="24"/>
                <w:lang w:val="el-GR"/>
              </w:rPr>
              <w:t>α</w:t>
            </w:r>
            <w:r w:rsidR="00B76383" w:rsidRPr="002910B5">
              <w:rPr>
                <w:rFonts w:ascii="Constantia" w:hAnsi="Constantia"/>
                <w:sz w:val="24"/>
                <w:szCs w:val="24"/>
                <w:lang w:val="el-GR"/>
              </w:rPr>
              <w:t xml:space="preserve">ντιστράφηκαν </w:t>
            </w:r>
            <w:r w:rsidR="009477FB" w:rsidRPr="002910B5">
              <w:rPr>
                <w:rFonts w:ascii="Constantia" w:hAnsi="Constantia"/>
                <w:sz w:val="24"/>
                <w:szCs w:val="24"/>
                <w:lang w:val="el-GR"/>
              </w:rPr>
              <w:t>δραματικά με την κορύφωση της πληθωριστικής και ενεργειακής κρίσης που ακολούθησε</w:t>
            </w:r>
            <w:r w:rsidR="00B76383" w:rsidRPr="002910B5">
              <w:rPr>
                <w:rFonts w:ascii="Constantia" w:hAnsi="Constantia"/>
                <w:sz w:val="24"/>
                <w:szCs w:val="24"/>
                <w:lang w:val="el-GR"/>
              </w:rPr>
              <w:t xml:space="preserve"> από το 2021-22</w:t>
            </w:r>
            <w:r w:rsidR="009477FB" w:rsidRPr="002910B5">
              <w:rPr>
                <w:rFonts w:ascii="Constantia" w:hAnsi="Constantia"/>
                <w:sz w:val="24"/>
                <w:szCs w:val="24"/>
                <w:lang w:val="el-GR"/>
              </w:rPr>
              <w:t xml:space="preserve">. Αποτέλεσμα αυτών των εξελίξεων είναι η όξυνση της στεγαστικής </w:t>
            </w:r>
            <w:r w:rsidR="006D7547" w:rsidRPr="002910B5">
              <w:rPr>
                <w:rFonts w:ascii="Constantia" w:hAnsi="Constantia"/>
                <w:sz w:val="24"/>
                <w:szCs w:val="24"/>
                <w:lang w:val="el-GR"/>
              </w:rPr>
              <w:t xml:space="preserve">επισφάλειας και </w:t>
            </w:r>
            <w:r w:rsidR="009477FB" w:rsidRPr="002910B5">
              <w:rPr>
                <w:rFonts w:ascii="Constantia" w:hAnsi="Constantia"/>
                <w:sz w:val="24"/>
                <w:szCs w:val="24"/>
                <w:lang w:val="el-GR"/>
              </w:rPr>
              <w:t>ανισότητας σε βάρος των ατόμων με αναπηρία.</w:t>
            </w:r>
          </w:p>
          <w:p w14:paraId="2E4FD54E" w14:textId="47A500D3" w:rsidR="009477FB" w:rsidRPr="002910B5" w:rsidRDefault="009477FB" w:rsidP="00F773D3">
            <w:pPr>
              <w:jc w:val="both"/>
              <w:rPr>
                <w:rFonts w:ascii="Constantia" w:hAnsi="Constantia"/>
                <w:sz w:val="24"/>
                <w:szCs w:val="24"/>
                <w:lang w:val="el-GR"/>
              </w:rPr>
            </w:pPr>
            <w:r w:rsidRPr="002910B5">
              <w:rPr>
                <w:rFonts w:ascii="Constantia" w:hAnsi="Constantia"/>
                <w:sz w:val="24"/>
                <w:szCs w:val="24"/>
                <w:lang w:val="el-GR"/>
              </w:rPr>
              <w:t xml:space="preserve">Με άλλα λόγια, σήμερα διαμορφώνεται μια ζοφερή κοινωνική συνθήκη γενικευμένης στεγαστικής </w:t>
            </w:r>
            <w:r w:rsidR="006D7547" w:rsidRPr="002910B5">
              <w:rPr>
                <w:rFonts w:ascii="Constantia" w:hAnsi="Constantia"/>
                <w:sz w:val="24"/>
                <w:szCs w:val="24"/>
                <w:lang w:val="el-GR"/>
              </w:rPr>
              <w:t>κρίσης</w:t>
            </w:r>
            <w:r w:rsidR="00BD7AAC" w:rsidRPr="002910B5">
              <w:rPr>
                <w:rFonts w:ascii="Constantia" w:hAnsi="Constantia"/>
                <w:sz w:val="24"/>
                <w:szCs w:val="24"/>
                <w:lang w:val="el-GR"/>
              </w:rPr>
              <w:t>,</w:t>
            </w:r>
            <w:r w:rsidRPr="002910B5">
              <w:rPr>
                <w:rFonts w:ascii="Constantia" w:hAnsi="Constantia"/>
                <w:sz w:val="24"/>
                <w:szCs w:val="24"/>
                <w:lang w:val="el-GR"/>
              </w:rPr>
              <w:t xml:space="preserve"> στο πλαίσιο της οποίας η αναπηρία λειτουργεί ως βασικός πολλαπλασιαστής στεγαστικών ανισοτήτων.</w:t>
            </w:r>
          </w:p>
          <w:p w14:paraId="54761C90" w14:textId="5EF33A12" w:rsidR="007D4181" w:rsidRPr="002910B5" w:rsidRDefault="007D4181" w:rsidP="00F773D3">
            <w:pPr>
              <w:jc w:val="both"/>
              <w:rPr>
                <w:rFonts w:ascii="Constantia" w:hAnsi="Constantia"/>
                <w:sz w:val="24"/>
                <w:szCs w:val="24"/>
                <w:lang w:val="el-GR"/>
              </w:rPr>
            </w:pPr>
            <w:r w:rsidRPr="002910B5">
              <w:rPr>
                <w:rFonts w:ascii="Constantia" w:hAnsi="Constantia"/>
                <w:sz w:val="24"/>
                <w:szCs w:val="24"/>
                <w:lang w:val="el-GR"/>
              </w:rPr>
              <w:t xml:space="preserve">Τα χαμηλότερα εισοδήματα των ατόμων με αναπηρία, το </w:t>
            </w:r>
            <w:r w:rsidR="009358B3" w:rsidRPr="002910B5">
              <w:rPr>
                <w:rFonts w:ascii="Constantia" w:hAnsi="Constantia"/>
                <w:sz w:val="24"/>
                <w:szCs w:val="24"/>
                <w:lang w:val="el-GR"/>
              </w:rPr>
              <w:t>υπέρογκο</w:t>
            </w:r>
            <w:r w:rsidR="006D7547" w:rsidRPr="002910B5">
              <w:rPr>
                <w:rFonts w:ascii="Constantia" w:hAnsi="Constantia"/>
                <w:sz w:val="24"/>
                <w:szCs w:val="24"/>
                <w:lang w:val="el-GR"/>
              </w:rPr>
              <w:t xml:space="preserve"> </w:t>
            </w:r>
            <w:r w:rsidRPr="002910B5">
              <w:rPr>
                <w:rFonts w:ascii="Constantia" w:hAnsi="Constantia"/>
                <w:sz w:val="24"/>
                <w:szCs w:val="24"/>
                <w:lang w:val="el-GR"/>
              </w:rPr>
              <w:t xml:space="preserve">πρόσθετο κόστος διαβίωσης που συνεπάγεται η </w:t>
            </w:r>
            <w:r w:rsidR="00295949" w:rsidRPr="002910B5">
              <w:rPr>
                <w:rFonts w:ascii="Constantia" w:hAnsi="Constantia"/>
                <w:sz w:val="24"/>
                <w:szCs w:val="24"/>
                <w:lang w:val="el-GR"/>
              </w:rPr>
              <w:t xml:space="preserve">ζωή με </w:t>
            </w:r>
            <w:r w:rsidRPr="002910B5">
              <w:rPr>
                <w:rFonts w:ascii="Constantia" w:hAnsi="Constantia"/>
                <w:sz w:val="24"/>
                <w:szCs w:val="24"/>
                <w:lang w:val="el-GR"/>
              </w:rPr>
              <w:t xml:space="preserve">αναπηρία </w:t>
            </w:r>
            <w:r w:rsidR="006D7547" w:rsidRPr="002910B5">
              <w:rPr>
                <w:rFonts w:ascii="Constantia" w:hAnsi="Constantia"/>
                <w:sz w:val="24"/>
                <w:szCs w:val="24"/>
                <w:lang w:val="el-GR"/>
              </w:rPr>
              <w:t xml:space="preserve">στην Ελλάδα, οι αυξημένες ενεργειακές ανάγκες που συχνά αντιμετωπίζουν τα άτομα με αναπηρία ή/και χρόνιες παθήσεις, αλλά και το έλλειμα </w:t>
            </w:r>
            <w:r w:rsidRPr="002910B5">
              <w:rPr>
                <w:rFonts w:ascii="Constantia" w:hAnsi="Constantia"/>
                <w:sz w:val="24"/>
                <w:szCs w:val="24"/>
                <w:lang w:val="el-GR"/>
              </w:rPr>
              <w:t>σ</w:t>
            </w:r>
            <w:r w:rsidR="006D7547" w:rsidRPr="002910B5">
              <w:rPr>
                <w:rFonts w:ascii="Constantia" w:hAnsi="Constantia"/>
                <w:sz w:val="24"/>
                <w:szCs w:val="24"/>
                <w:lang w:val="el-GR"/>
              </w:rPr>
              <w:t xml:space="preserve">το στεγαστικό απόθεμα προσβάσιμων και ποιοτικών κατοικιών, αποτελούν κάποιους από τους παράγοντες που συνθέτουν το κοινωνικό μειονέκτημα της αναπηρίας </w:t>
            </w:r>
            <w:r w:rsidR="00B54B48" w:rsidRPr="002910B5">
              <w:rPr>
                <w:rFonts w:ascii="Constantia" w:hAnsi="Constantia"/>
                <w:sz w:val="24"/>
                <w:szCs w:val="24"/>
                <w:lang w:val="el-GR"/>
              </w:rPr>
              <w:t>ως προς την</w:t>
            </w:r>
            <w:r w:rsidR="006D7547" w:rsidRPr="002910B5">
              <w:rPr>
                <w:rFonts w:ascii="Constantia" w:hAnsi="Constantia"/>
                <w:sz w:val="24"/>
                <w:szCs w:val="24"/>
                <w:lang w:val="el-GR"/>
              </w:rPr>
              <w:t xml:space="preserve"> πρόσβαση σε αξιοπρεπή και ασφαλή στέγη.</w:t>
            </w:r>
          </w:p>
          <w:p w14:paraId="7CE5C98E" w14:textId="34079FCE" w:rsidR="007D4181" w:rsidRPr="002E31F3" w:rsidRDefault="007D4181" w:rsidP="00F773D3">
            <w:pPr>
              <w:jc w:val="both"/>
              <w:rPr>
                <w:rFonts w:ascii="Constantia" w:hAnsi="Constantia"/>
                <w:sz w:val="24"/>
                <w:szCs w:val="24"/>
                <w:lang w:val="el-GR"/>
              </w:rPr>
            </w:pPr>
            <w:r w:rsidRPr="002910B5">
              <w:rPr>
                <w:rFonts w:ascii="Constantia" w:hAnsi="Constantia"/>
                <w:sz w:val="24"/>
                <w:szCs w:val="24"/>
                <w:lang w:val="el-GR"/>
              </w:rPr>
              <w:t>Η εκτόξευση των ληξιπρόθεσμων οφειλών σε ενοίκια και στεγαστικά δάνεια</w:t>
            </w:r>
            <w:r w:rsidR="00B27583" w:rsidRPr="002910B5">
              <w:rPr>
                <w:rFonts w:ascii="Constantia" w:hAnsi="Constantia"/>
                <w:sz w:val="24"/>
                <w:szCs w:val="24"/>
                <w:lang w:val="el-GR"/>
              </w:rPr>
              <w:t xml:space="preserve"> κατά το διάστημα 2021 με 2025, </w:t>
            </w:r>
            <w:r w:rsidRPr="002910B5">
              <w:rPr>
                <w:rFonts w:ascii="Constantia" w:hAnsi="Constantia"/>
                <w:sz w:val="24"/>
                <w:szCs w:val="24"/>
                <w:lang w:val="el-GR"/>
              </w:rPr>
              <w:t>με πλέον τον έναν στους 2 πολίτες με αναπηρία να καθυστερεί να πληρώσει το ενοίκιο ή το στεγαστικού του δάνειο, καταδεικνύει μια εκρηκτική κοινωνική κατάσταση, με μεγάλο τμήμα των ατόμων με αναπηρία να αντιμετωπίζουν</w:t>
            </w:r>
            <w:r w:rsidR="00B54B48" w:rsidRPr="002910B5">
              <w:rPr>
                <w:rFonts w:ascii="Constantia" w:hAnsi="Constantia"/>
                <w:sz w:val="24"/>
                <w:szCs w:val="24"/>
                <w:lang w:val="el-GR"/>
              </w:rPr>
              <w:t xml:space="preserve"> ακόμα και</w:t>
            </w:r>
            <w:r w:rsidRPr="002910B5">
              <w:rPr>
                <w:rFonts w:ascii="Constantia" w:hAnsi="Constantia"/>
                <w:sz w:val="24"/>
                <w:szCs w:val="24"/>
                <w:lang w:val="el-GR"/>
              </w:rPr>
              <w:t xml:space="preserve"> τον κίνδυνο απώλειας της κατοικίας τους.</w:t>
            </w:r>
          </w:p>
          <w:p w14:paraId="78EF4312" w14:textId="3F4290DF" w:rsidR="00666355" w:rsidRDefault="00666355" w:rsidP="00F773D3">
            <w:pPr>
              <w:jc w:val="both"/>
              <w:rPr>
                <w:rFonts w:ascii="Constantia" w:hAnsi="Constantia"/>
                <w:sz w:val="24"/>
                <w:szCs w:val="24"/>
                <w:lang w:val="el-GR"/>
              </w:rPr>
            </w:pPr>
            <w:r>
              <w:rPr>
                <w:rFonts w:ascii="Constantia" w:hAnsi="Constantia"/>
                <w:sz w:val="24"/>
                <w:szCs w:val="24"/>
                <w:lang w:val="el-GR"/>
              </w:rPr>
              <w:t>Τα</w:t>
            </w:r>
            <w:r w:rsidR="007D4181" w:rsidRPr="002910B5">
              <w:rPr>
                <w:rFonts w:ascii="Constantia" w:hAnsi="Constantia"/>
                <w:sz w:val="24"/>
                <w:szCs w:val="24"/>
                <w:lang w:val="el-GR"/>
              </w:rPr>
              <w:t xml:space="preserve"> δεδομένα αυτά, </w:t>
            </w:r>
            <w:r>
              <w:rPr>
                <w:rFonts w:ascii="Constantia" w:hAnsi="Constantia"/>
                <w:sz w:val="24"/>
                <w:szCs w:val="24"/>
                <w:lang w:val="el-GR"/>
              </w:rPr>
              <w:t xml:space="preserve">αποδεικνύουν ότι η αναπηρία αποτελεί βασικό παράγοντα ευαλωτότητας στο στεγαστικό ζήτημα. </w:t>
            </w:r>
          </w:p>
          <w:p w14:paraId="6A5CC8AD" w14:textId="55965B7B" w:rsidR="00FA0290" w:rsidRDefault="00666355" w:rsidP="00666355">
            <w:pPr>
              <w:jc w:val="both"/>
              <w:rPr>
                <w:rFonts w:ascii="Constantia" w:hAnsi="Constantia"/>
                <w:sz w:val="24"/>
                <w:szCs w:val="24"/>
                <w:lang w:val="el-GR"/>
              </w:rPr>
            </w:pPr>
            <w:r>
              <w:rPr>
                <w:rFonts w:ascii="Constantia" w:hAnsi="Constantia"/>
                <w:sz w:val="24"/>
                <w:szCs w:val="24"/>
                <w:lang w:val="el-GR"/>
              </w:rPr>
              <w:t xml:space="preserve">Η </w:t>
            </w:r>
            <w:r w:rsidRPr="00596065">
              <w:rPr>
                <w:rFonts w:ascii="Constantia" w:hAnsi="Constantia"/>
                <w:sz w:val="24"/>
                <w:szCs w:val="24"/>
                <w:lang w:val="el-GR"/>
              </w:rPr>
              <w:t>Εθνική Στρατηγική για τη Στεγαστική Πολιτική</w:t>
            </w:r>
            <w:r>
              <w:rPr>
                <w:rFonts w:ascii="Constantia" w:hAnsi="Constantia"/>
                <w:sz w:val="24"/>
                <w:szCs w:val="24"/>
                <w:lang w:val="el-GR"/>
              </w:rPr>
              <w:t xml:space="preserve"> </w:t>
            </w:r>
            <w:r w:rsidRPr="00596065">
              <w:rPr>
                <w:rFonts w:ascii="Constantia" w:hAnsi="Constantia"/>
                <w:sz w:val="24"/>
                <w:szCs w:val="24"/>
                <w:lang w:val="el-GR"/>
              </w:rPr>
              <w:t>2026-2035</w:t>
            </w:r>
            <w:r>
              <w:rPr>
                <w:rFonts w:ascii="Constantia" w:hAnsi="Constantia"/>
                <w:sz w:val="24"/>
                <w:szCs w:val="24"/>
                <w:lang w:val="el-GR"/>
              </w:rPr>
              <w:t xml:space="preserve"> έλαβε μεν υπόψη της ορισμένες από τις προτάσεις που είχε υποβάλλει η ΕΣΑμεΑ </w:t>
            </w:r>
            <w:r w:rsidRPr="002910B5">
              <w:rPr>
                <w:rFonts w:ascii="Constantia" w:hAnsi="Constantia"/>
                <w:sz w:val="24"/>
                <w:szCs w:val="24"/>
                <w:lang w:val="el-GR"/>
              </w:rPr>
              <w:t>στη Δημόσια ηλεκτρονική διαβούλευση</w:t>
            </w:r>
            <w:r>
              <w:rPr>
                <w:rFonts w:ascii="Constantia" w:hAnsi="Constantia"/>
                <w:sz w:val="24"/>
                <w:szCs w:val="24"/>
                <w:lang w:val="el-GR"/>
              </w:rPr>
              <w:t xml:space="preserve">, </w:t>
            </w:r>
            <w:r w:rsidR="002803CB">
              <w:rPr>
                <w:rFonts w:ascii="Constantia" w:hAnsi="Constantia"/>
                <w:sz w:val="24"/>
                <w:szCs w:val="24"/>
                <w:lang w:val="el-GR"/>
              </w:rPr>
              <w:t xml:space="preserve">φαίνεται </w:t>
            </w:r>
            <w:r>
              <w:rPr>
                <w:rFonts w:ascii="Constantia" w:hAnsi="Constantia"/>
                <w:sz w:val="24"/>
                <w:szCs w:val="24"/>
                <w:lang w:val="el-GR"/>
              </w:rPr>
              <w:t xml:space="preserve">ωστόσο </w:t>
            </w:r>
            <w:r w:rsidR="00763947">
              <w:rPr>
                <w:rFonts w:ascii="Constantia" w:hAnsi="Constantia"/>
                <w:sz w:val="24"/>
                <w:szCs w:val="24"/>
                <w:lang w:val="el-GR"/>
              </w:rPr>
              <w:t xml:space="preserve">ότι αυτές υιοθετήθηκαν </w:t>
            </w:r>
            <w:r w:rsidR="002803CB">
              <w:rPr>
                <w:rFonts w:ascii="Constantia" w:hAnsi="Constantia"/>
                <w:sz w:val="24"/>
                <w:szCs w:val="24"/>
                <w:lang w:val="el-GR"/>
              </w:rPr>
              <w:t xml:space="preserve">περισσότερο </w:t>
            </w:r>
            <w:r w:rsidR="00763947">
              <w:rPr>
                <w:rFonts w:ascii="Constantia" w:hAnsi="Constantia"/>
                <w:sz w:val="24"/>
                <w:szCs w:val="24"/>
                <w:lang w:val="el-GR"/>
              </w:rPr>
              <w:t xml:space="preserve">σε επίπεδο γενικών αρχών και στόχων και δεν μεταφράστηκαν </w:t>
            </w:r>
            <w:r w:rsidR="00FA0290">
              <w:rPr>
                <w:rFonts w:ascii="Constantia" w:hAnsi="Constantia"/>
                <w:sz w:val="24"/>
                <w:szCs w:val="24"/>
                <w:lang w:val="el-GR"/>
              </w:rPr>
              <w:t xml:space="preserve">μέχρι στιγμής </w:t>
            </w:r>
            <w:r w:rsidR="00763947">
              <w:rPr>
                <w:rFonts w:ascii="Constantia" w:hAnsi="Constantia"/>
                <w:sz w:val="24"/>
                <w:szCs w:val="24"/>
                <w:lang w:val="el-GR"/>
              </w:rPr>
              <w:t xml:space="preserve">σε συγκεκριμένα μέτρα. </w:t>
            </w:r>
            <w:r w:rsidR="00A362BC">
              <w:rPr>
                <w:rFonts w:ascii="Constantia" w:hAnsi="Constantia"/>
                <w:sz w:val="24"/>
                <w:szCs w:val="24"/>
                <w:lang w:val="el-GR"/>
              </w:rPr>
              <w:t xml:space="preserve">Οι </w:t>
            </w:r>
            <w:r w:rsidR="002803CB">
              <w:rPr>
                <w:rFonts w:ascii="Constantia" w:hAnsi="Constantia"/>
                <w:sz w:val="24"/>
                <w:szCs w:val="24"/>
                <w:lang w:val="el-GR"/>
              </w:rPr>
              <w:t xml:space="preserve">μέχρι στιγμής </w:t>
            </w:r>
            <w:r w:rsidR="00A362BC">
              <w:rPr>
                <w:rFonts w:ascii="Constantia" w:hAnsi="Constantia"/>
                <w:sz w:val="24"/>
                <w:szCs w:val="24"/>
                <w:lang w:val="el-GR"/>
              </w:rPr>
              <w:t>εξαγγελίες για το</w:t>
            </w:r>
            <w:r w:rsidR="00FA0290">
              <w:rPr>
                <w:rFonts w:ascii="Constantia" w:hAnsi="Constantia"/>
                <w:sz w:val="24"/>
                <w:szCs w:val="24"/>
                <w:lang w:val="el-GR"/>
              </w:rPr>
              <w:t xml:space="preserve"> νέο πρόγραμμα επιδότησης στεγαστικού δανείου «Σπίτι μου ΙΙΙ» </w:t>
            </w:r>
            <w:r w:rsidR="002803CB">
              <w:rPr>
                <w:rFonts w:ascii="Constantia" w:hAnsi="Constantia"/>
                <w:sz w:val="24"/>
                <w:szCs w:val="24"/>
                <w:lang w:val="el-GR"/>
              </w:rPr>
              <w:t xml:space="preserve">επιβεβαιώνουν αυτήν την ανησυχία, αφού </w:t>
            </w:r>
            <w:r w:rsidR="00A362BC">
              <w:rPr>
                <w:rFonts w:ascii="Constantia" w:hAnsi="Constantia"/>
                <w:sz w:val="24"/>
                <w:szCs w:val="24"/>
                <w:lang w:val="el-GR"/>
              </w:rPr>
              <w:t xml:space="preserve">δεν έχουν λάβει υπόψη το πρόσθετο κόστος διαβίωσης των ατόμων </w:t>
            </w:r>
            <w:r w:rsidR="002803CB">
              <w:rPr>
                <w:rFonts w:ascii="Constantia" w:hAnsi="Constantia"/>
                <w:sz w:val="24"/>
                <w:szCs w:val="24"/>
                <w:lang w:val="el-GR"/>
              </w:rPr>
              <w:t xml:space="preserve">λόγω </w:t>
            </w:r>
            <w:r w:rsidR="00A362BC">
              <w:rPr>
                <w:rFonts w:ascii="Constantia" w:hAnsi="Constantia"/>
                <w:sz w:val="24"/>
                <w:szCs w:val="24"/>
                <w:lang w:val="el-GR"/>
              </w:rPr>
              <w:t>αναπηρία</w:t>
            </w:r>
            <w:r w:rsidR="002803CB">
              <w:rPr>
                <w:rFonts w:ascii="Constantia" w:hAnsi="Constantia"/>
                <w:sz w:val="24"/>
                <w:szCs w:val="24"/>
                <w:lang w:val="el-GR"/>
              </w:rPr>
              <w:t>ς</w:t>
            </w:r>
            <w:r w:rsidR="00A362BC">
              <w:rPr>
                <w:rFonts w:ascii="Constantia" w:hAnsi="Constantia"/>
                <w:sz w:val="24"/>
                <w:szCs w:val="24"/>
                <w:lang w:val="el-GR"/>
              </w:rPr>
              <w:t xml:space="preserve">. </w:t>
            </w:r>
          </w:p>
          <w:p w14:paraId="033E02B6" w14:textId="098602DF" w:rsidR="004C4C0A" w:rsidRPr="00A362BC" w:rsidRDefault="007D4181" w:rsidP="00A362BC">
            <w:pPr>
              <w:jc w:val="both"/>
              <w:rPr>
                <w:rFonts w:ascii="Constantia" w:hAnsi="Constantia"/>
                <w:sz w:val="24"/>
                <w:szCs w:val="24"/>
                <w:lang w:val="el-GR"/>
              </w:rPr>
            </w:pPr>
            <w:r w:rsidRPr="002910B5">
              <w:rPr>
                <w:rFonts w:ascii="Constantia" w:hAnsi="Constantia"/>
                <w:sz w:val="24"/>
                <w:szCs w:val="24"/>
                <w:lang w:val="el-GR"/>
              </w:rPr>
              <w:t>Η Ε</w:t>
            </w:r>
            <w:r w:rsidR="006D7547" w:rsidRPr="002910B5">
              <w:rPr>
                <w:rFonts w:ascii="Constantia" w:hAnsi="Constantia"/>
                <w:sz w:val="24"/>
                <w:szCs w:val="24"/>
                <w:lang w:val="el-GR"/>
              </w:rPr>
              <w:t>Σ</w:t>
            </w:r>
            <w:r w:rsidRPr="002910B5">
              <w:rPr>
                <w:rFonts w:ascii="Constantia" w:hAnsi="Constantia"/>
                <w:sz w:val="24"/>
                <w:szCs w:val="24"/>
                <w:lang w:val="el-GR"/>
              </w:rPr>
              <w:t>ΑμεΑ προκειμένου να προασπίσει το δικαίωμα των ατόμων με αναπηρία</w:t>
            </w:r>
            <w:r w:rsidR="00AB64EE">
              <w:rPr>
                <w:rFonts w:ascii="Constantia" w:hAnsi="Constantia"/>
                <w:sz w:val="24"/>
                <w:szCs w:val="24"/>
                <w:lang w:val="el-GR"/>
              </w:rPr>
              <w:t xml:space="preserve"> ή /και χρόνιες παθήσεις</w:t>
            </w:r>
            <w:r w:rsidRPr="002910B5">
              <w:rPr>
                <w:rFonts w:ascii="Constantia" w:hAnsi="Constantia"/>
                <w:sz w:val="24"/>
                <w:szCs w:val="24"/>
                <w:lang w:val="el-GR"/>
              </w:rPr>
              <w:t xml:space="preserve"> σε ποιοτική, προσβάσιμη</w:t>
            </w:r>
            <w:r w:rsidR="003C0F6F" w:rsidRPr="002910B5">
              <w:rPr>
                <w:rFonts w:ascii="Constantia" w:hAnsi="Constantia"/>
                <w:sz w:val="24"/>
                <w:szCs w:val="24"/>
                <w:lang w:val="el-GR"/>
              </w:rPr>
              <w:t>, ασφαλή</w:t>
            </w:r>
            <w:r w:rsidRPr="002910B5">
              <w:rPr>
                <w:rFonts w:ascii="Constantia" w:hAnsi="Constantia"/>
                <w:sz w:val="24"/>
                <w:szCs w:val="24"/>
                <w:lang w:val="el-GR"/>
              </w:rPr>
              <w:t xml:space="preserve"> και οικονομικά προσιτή κατοικία, </w:t>
            </w:r>
            <w:r w:rsidR="00A362BC">
              <w:rPr>
                <w:rFonts w:ascii="Constantia" w:hAnsi="Constantia"/>
                <w:sz w:val="24"/>
                <w:szCs w:val="24"/>
                <w:lang w:val="el-GR"/>
              </w:rPr>
              <w:t xml:space="preserve">συνεχίζει να διεκδικεί και να καταθέτει </w:t>
            </w:r>
            <w:r w:rsidRPr="002910B5">
              <w:rPr>
                <w:rFonts w:ascii="Constantia" w:hAnsi="Constantia"/>
                <w:sz w:val="24"/>
                <w:szCs w:val="24"/>
                <w:lang w:val="el-GR"/>
              </w:rPr>
              <w:t xml:space="preserve">τεκμηριωμένες και στοχευμένες </w:t>
            </w:r>
            <w:r w:rsidR="00A362BC">
              <w:rPr>
                <w:rFonts w:ascii="Constantia" w:hAnsi="Constantia"/>
                <w:sz w:val="24"/>
                <w:szCs w:val="24"/>
                <w:lang w:val="el-GR"/>
              </w:rPr>
              <w:t xml:space="preserve">προτάσεις, που αφορούν μεταξύ άλλων, </w:t>
            </w:r>
            <w:r w:rsidRPr="002910B5">
              <w:rPr>
                <w:rFonts w:ascii="Constantia" w:hAnsi="Constantia"/>
                <w:sz w:val="24"/>
                <w:szCs w:val="24"/>
                <w:lang w:val="el-GR"/>
              </w:rPr>
              <w:t>στην αυξημένη οικονομική ενίσχυση και προτεραιότητα</w:t>
            </w:r>
            <w:r w:rsidR="003C0F6F" w:rsidRPr="002910B5">
              <w:rPr>
                <w:rFonts w:ascii="Constantia" w:hAnsi="Constantia"/>
                <w:sz w:val="24"/>
                <w:szCs w:val="24"/>
                <w:lang w:val="el-GR"/>
              </w:rPr>
              <w:t xml:space="preserve"> που πρέπει να δοθεί</w:t>
            </w:r>
            <w:r w:rsidRPr="002910B5">
              <w:rPr>
                <w:rFonts w:ascii="Constantia" w:hAnsi="Constantia"/>
                <w:sz w:val="24"/>
                <w:szCs w:val="24"/>
                <w:lang w:val="el-GR"/>
              </w:rPr>
              <w:t xml:space="preserve"> στα άτομα με αναπηρία στα σχεδιαζόμενα προγράμματα στέγασης, στην ανάγκη για κάλυψη του κόστους προσαρμογής και απόκτησης προσβάσιμης κατοικίας, στην ανάπτυξη </w:t>
            </w:r>
            <w:r w:rsidR="003C0F6F" w:rsidRPr="002910B5">
              <w:rPr>
                <w:rFonts w:ascii="Constantia" w:hAnsi="Constantia"/>
                <w:sz w:val="24"/>
                <w:szCs w:val="24"/>
                <w:lang w:val="el-GR"/>
              </w:rPr>
              <w:t xml:space="preserve">καινοτόμων </w:t>
            </w:r>
            <w:r w:rsidRPr="002910B5">
              <w:rPr>
                <w:rFonts w:ascii="Constantia" w:hAnsi="Constantia"/>
                <w:sz w:val="24"/>
                <w:szCs w:val="24"/>
                <w:lang w:val="el-GR"/>
              </w:rPr>
              <w:t>λύσεων κοινωνικής και υποστηριζόμενης κατοικίας,</w:t>
            </w:r>
            <w:r w:rsidR="00777EFF">
              <w:rPr>
                <w:rFonts w:ascii="Constantia" w:hAnsi="Constantia"/>
                <w:sz w:val="24"/>
                <w:szCs w:val="24"/>
                <w:lang w:val="el-GR"/>
              </w:rPr>
              <w:t xml:space="preserve"> σ</w:t>
            </w:r>
            <w:r w:rsidR="00777EFF" w:rsidRPr="00777EFF">
              <w:rPr>
                <w:rFonts w:ascii="Constantia" w:hAnsi="Constantia"/>
                <w:sz w:val="24"/>
                <w:szCs w:val="24"/>
                <w:lang w:val="el-GR"/>
              </w:rPr>
              <w:t>την παροχή κινήτρων προς τους ιδιοκτήτες κατοικιών για την υλοποίηση παρεμβάσεων προσβασιμότητας σε κατοικίες που προορίζονται για μίσθωση</w:t>
            </w:r>
            <w:r w:rsidR="00344436">
              <w:rPr>
                <w:rFonts w:ascii="Constantia" w:hAnsi="Constantia"/>
                <w:sz w:val="24"/>
                <w:szCs w:val="24"/>
                <w:lang w:val="el-GR"/>
              </w:rPr>
              <w:t xml:space="preserve">, </w:t>
            </w:r>
            <w:r w:rsidRPr="002910B5">
              <w:rPr>
                <w:rFonts w:ascii="Constantia" w:hAnsi="Constantia"/>
                <w:sz w:val="24"/>
                <w:szCs w:val="24"/>
                <w:lang w:val="el-GR"/>
              </w:rPr>
              <w:t>στη δημιουργία μητρώου προσβάσιμων κατοικιών</w:t>
            </w:r>
            <w:r w:rsidR="00344436">
              <w:rPr>
                <w:rFonts w:ascii="Constantia" w:hAnsi="Constantia"/>
                <w:sz w:val="24"/>
                <w:szCs w:val="24"/>
                <w:lang w:val="el-GR"/>
              </w:rPr>
              <w:t xml:space="preserve">, </w:t>
            </w:r>
            <w:r w:rsidR="006D7547" w:rsidRPr="002910B5">
              <w:rPr>
                <w:rFonts w:ascii="Constantia" w:hAnsi="Constantia"/>
                <w:sz w:val="24"/>
                <w:szCs w:val="24"/>
                <w:lang w:val="el-GR"/>
              </w:rPr>
              <w:t>ώστε να διευκο</w:t>
            </w:r>
            <w:r w:rsidR="003C0F6F" w:rsidRPr="002910B5">
              <w:rPr>
                <w:rFonts w:ascii="Constantia" w:hAnsi="Constantia"/>
                <w:sz w:val="24"/>
                <w:szCs w:val="24"/>
                <w:lang w:val="el-GR"/>
              </w:rPr>
              <w:t>λυνθούν</w:t>
            </w:r>
            <w:r w:rsidR="006D7547" w:rsidRPr="002910B5">
              <w:rPr>
                <w:rFonts w:ascii="Constantia" w:hAnsi="Constantia"/>
                <w:sz w:val="24"/>
                <w:szCs w:val="24"/>
                <w:lang w:val="el-GR"/>
              </w:rPr>
              <w:t xml:space="preserve"> οι πολίτες με αναπηρία στην </w:t>
            </w:r>
            <w:r w:rsidR="003C0F6F" w:rsidRPr="002910B5">
              <w:rPr>
                <w:rFonts w:ascii="Constantia" w:hAnsi="Constantia"/>
                <w:sz w:val="24"/>
                <w:szCs w:val="24"/>
                <w:lang w:val="el-GR"/>
              </w:rPr>
              <w:t xml:space="preserve">δύσκολη </w:t>
            </w:r>
            <w:r w:rsidR="006D7547" w:rsidRPr="002910B5">
              <w:rPr>
                <w:rFonts w:ascii="Constantia" w:hAnsi="Constantia"/>
                <w:sz w:val="24"/>
                <w:szCs w:val="24"/>
                <w:lang w:val="el-GR"/>
              </w:rPr>
              <w:t>αναζήτηση κατάλληλης κατοικίας.</w:t>
            </w:r>
          </w:p>
        </w:tc>
      </w:tr>
    </w:tbl>
    <w:p w14:paraId="37E0C3B9" w14:textId="77777777" w:rsidR="007F7EFE" w:rsidRPr="007341FB" w:rsidRDefault="007F7EFE">
      <w:pPr>
        <w:spacing w:after="0" w:line="240" w:lineRule="auto"/>
        <w:rPr>
          <w:rFonts w:asciiTheme="majorHAnsi" w:eastAsiaTheme="majorEastAsia" w:hAnsiTheme="majorHAnsi" w:cstheme="majorBidi"/>
          <w:sz w:val="32"/>
          <w:szCs w:val="32"/>
          <w:lang w:val="el-GR"/>
        </w:rPr>
      </w:pPr>
      <w:bookmarkStart w:id="5" w:name="_Toc135310539"/>
      <w:bookmarkEnd w:id="4"/>
      <w:r w:rsidRPr="007341FB">
        <w:rPr>
          <w:lang w:val="el-GR"/>
        </w:rPr>
        <w:br w:type="page"/>
      </w:r>
    </w:p>
    <w:p w14:paraId="31DB9516" w14:textId="3959DEE7" w:rsidR="003677F5" w:rsidRDefault="003677F5" w:rsidP="003363E1">
      <w:pPr>
        <w:pStyle w:val="10"/>
        <w:numPr>
          <w:ilvl w:val="0"/>
          <w:numId w:val="0"/>
        </w:numPr>
        <w:spacing w:before="360" w:after="480"/>
        <w:jc w:val="center"/>
        <w:rPr>
          <w:b/>
          <w:bCs/>
          <w:color w:val="auto"/>
          <w:u w:val="single"/>
          <w:lang w:val="el-GR"/>
        </w:rPr>
      </w:pPr>
      <w:bookmarkStart w:id="6" w:name="_Toc235457003"/>
      <w:r w:rsidRPr="007646CD">
        <w:rPr>
          <w:b/>
          <w:bCs/>
          <w:color w:val="auto"/>
          <w:u w:val="single"/>
          <w:lang w:val="el-GR"/>
        </w:rPr>
        <w:t>Α</w:t>
      </w:r>
      <w:bookmarkEnd w:id="5"/>
      <w:r w:rsidR="00521D8A">
        <w:rPr>
          <w:b/>
          <w:bCs/>
          <w:color w:val="auto"/>
          <w:u w:val="single"/>
          <w:lang w:val="el-GR"/>
        </w:rPr>
        <w:t>νάλυση Ευρημάτων</w:t>
      </w:r>
      <w:bookmarkEnd w:id="6"/>
    </w:p>
    <w:p w14:paraId="164AF0B9" w14:textId="32AB7347" w:rsidR="00412692" w:rsidRPr="00A62D5B" w:rsidRDefault="00D11D5F" w:rsidP="000E37EE">
      <w:pPr>
        <w:pStyle w:val="10"/>
        <w:spacing w:after="360"/>
        <w:ind w:left="431" w:hanging="431"/>
        <w:rPr>
          <w:b/>
          <w:bCs/>
          <w:color w:val="auto"/>
        </w:rPr>
      </w:pPr>
      <w:bookmarkStart w:id="7" w:name="_Toc235457004"/>
      <w:bookmarkStart w:id="8" w:name="_Toc507672671"/>
      <w:bookmarkStart w:id="9" w:name="_Hlk219979347"/>
      <w:r w:rsidRPr="00A62D5B">
        <w:rPr>
          <w:b/>
          <w:bCs/>
          <w:color w:val="auto"/>
        </w:rPr>
        <w:t>Επιβάρυνση από το κόστος Στέγασης</w:t>
      </w:r>
      <w:bookmarkEnd w:id="7"/>
    </w:p>
    <w:p w14:paraId="54019C02" w14:textId="52D1898B" w:rsidR="00412692" w:rsidRPr="002E31F3" w:rsidRDefault="00D11D5F" w:rsidP="00412692">
      <w:pPr>
        <w:spacing w:after="360"/>
        <w:jc w:val="both"/>
        <w:rPr>
          <w:rFonts w:ascii="Constantia" w:hAnsi="Constantia"/>
          <w:sz w:val="24"/>
          <w:szCs w:val="24"/>
          <w:lang w:val="el-GR"/>
        </w:rPr>
      </w:pPr>
      <w:r w:rsidRPr="00D11D5F">
        <w:rPr>
          <w:rFonts w:ascii="Constantia" w:hAnsi="Constantia"/>
          <w:sz w:val="24"/>
          <w:szCs w:val="24"/>
          <w:lang w:val="el-GR"/>
        </w:rPr>
        <w:t xml:space="preserve">Ο δείκτης «Ποσοστό ατόμων με υπερβολική επιβάρυνση </w:t>
      </w:r>
      <w:r>
        <w:rPr>
          <w:rFonts w:ascii="Constantia" w:hAnsi="Constantia"/>
          <w:sz w:val="24"/>
          <w:szCs w:val="24"/>
          <w:lang w:val="el-GR"/>
        </w:rPr>
        <w:t>στεγαστικού κόστους</w:t>
      </w:r>
      <w:r w:rsidRPr="00D11D5F">
        <w:rPr>
          <w:rFonts w:ascii="Constantia" w:hAnsi="Constantia"/>
          <w:sz w:val="24"/>
          <w:szCs w:val="24"/>
          <w:lang w:val="el-GR"/>
        </w:rPr>
        <w:t xml:space="preserve">» </w:t>
      </w:r>
      <w:r>
        <w:rPr>
          <w:rFonts w:ascii="Constantia" w:hAnsi="Constantia"/>
          <w:sz w:val="24"/>
          <w:szCs w:val="24"/>
          <w:lang w:val="el-GR"/>
        </w:rPr>
        <w:t>(</w:t>
      </w:r>
      <w:r>
        <w:rPr>
          <w:rFonts w:ascii="Constantia" w:hAnsi="Constantia"/>
          <w:sz w:val="24"/>
          <w:szCs w:val="24"/>
        </w:rPr>
        <w:t>Housing</w:t>
      </w:r>
      <w:r w:rsidRPr="00D11D5F">
        <w:rPr>
          <w:rFonts w:ascii="Constantia" w:hAnsi="Constantia"/>
          <w:sz w:val="24"/>
          <w:szCs w:val="24"/>
          <w:lang w:val="el-GR"/>
        </w:rPr>
        <w:t xml:space="preserve"> </w:t>
      </w:r>
      <w:r>
        <w:rPr>
          <w:rFonts w:ascii="Constantia" w:hAnsi="Constantia"/>
          <w:sz w:val="24"/>
          <w:szCs w:val="24"/>
        </w:rPr>
        <w:t>cost</w:t>
      </w:r>
      <w:r w:rsidRPr="00D11D5F">
        <w:rPr>
          <w:rFonts w:ascii="Constantia" w:hAnsi="Constantia"/>
          <w:sz w:val="24"/>
          <w:szCs w:val="24"/>
          <w:lang w:val="el-GR"/>
        </w:rPr>
        <w:t xml:space="preserve"> </w:t>
      </w:r>
      <w:r>
        <w:rPr>
          <w:rFonts w:ascii="Constantia" w:hAnsi="Constantia"/>
          <w:sz w:val="24"/>
          <w:szCs w:val="24"/>
        </w:rPr>
        <w:t>Overburden</w:t>
      </w:r>
      <w:r>
        <w:rPr>
          <w:rFonts w:ascii="Constantia" w:hAnsi="Constantia"/>
          <w:sz w:val="24"/>
          <w:szCs w:val="24"/>
          <w:lang w:val="el-GR"/>
        </w:rPr>
        <w:t xml:space="preserve"> </w:t>
      </w:r>
      <w:r>
        <w:rPr>
          <w:rFonts w:ascii="Constantia" w:hAnsi="Constantia"/>
          <w:sz w:val="24"/>
          <w:szCs w:val="24"/>
        </w:rPr>
        <w:t>rate</w:t>
      </w:r>
      <w:r w:rsidRPr="00D11D5F">
        <w:rPr>
          <w:rFonts w:ascii="Constantia" w:hAnsi="Constantia"/>
          <w:sz w:val="24"/>
          <w:szCs w:val="24"/>
          <w:lang w:val="el-GR"/>
        </w:rPr>
        <w:t>) αντιπροσωπεύει το ποσοστό των ατόμων που οι δαπάνες που επωμίζονται για το κόστος της στέγασης υπερβαίνει το 40% του διαθέσιμου εισοδήματός τους. Το στεγαστικό κόστος ορίζεται ως το σύνολο των τρεχουσών δαπανών για στέγαση όπως πληρωμές ενοικίου, στεγαστικού δανείου, λογαριασμοί κοινωνικής ωφέλειας, δαπάνες για συντήρηση, και φόρους.</w:t>
      </w:r>
    </w:p>
    <w:p w14:paraId="37CF4706" w14:textId="0C457DBD" w:rsidR="00D11D5F" w:rsidRPr="000E37EE" w:rsidRDefault="00D11D5F" w:rsidP="00B45D0B">
      <w:pPr>
        <w:pStyle w:val="2"/>
        <w:spacing w:before="360" w:after="240"/>
        <w:ind w:left="578" w:right="-142" w:hanging="578"/>
        <w:jc w:val="left"/>
        <w:rPr>
          <w:sz w:val="26"/>
          <w:szCs w:val="26"/>
        </w:rPr>
      </w:pPr>
      <w:bookmarkStart w:id="10" w:name="_Toc235457005"/>
      <w:r w:rsidRPr="000E37EE">
        <w:rPr>
          <w:sz w:val="26"/>
          <w:szCs w:val="26"/>
        </w:rPr>
        <w:t>Διαχρονική εξέλιξη του Δείκτη «Ποσοστό Ατόμων με Υπερβολική Επιβάρυνση στεγαστικού κόστους και κατάσταση αναπηρίας (Housing Cost Overburden Rate)»</w:t>
      </w:r>
      <w:bookmarkEnd w:id="10"/>
    </w:p>
    <w:p w14:paraId="735B1C18" w14:textId="3A809FFF" w:rsidR="00D11D5F" w:rsidRPr="00D11D5F" w:rsidRDefault="00D11D5F" w:rsidP="005843D6">
      <w:pPr>
        <w:spacing w:after="360"/>
        <w:jc w:val="both"/>
        <w:rPr>
          <w:rFonts w:ascii="Constantia" w:hAnsi="Constantia"/>
          <w:sz w:val="24"/>
          <w:szCs w:val="24"/>
          <w:highlight w:val="yellow"/>
          <w:lang w:val="el-GR"/>
        </w:rPr>
      </w:pPr>
      <w:r w:rsidRPr="00D11D5F">
        <w:rPr>
          <w:rFonts w:ascii="Constantia" w:hAnsi="Constantia"/>
          <w:sz w:val="24"/>
          <w:szCs w:val="24"/>
          <w:lang w:val="el-GR"/>
        </w:rPr>
        <w:t xml:space="preserve">Στο </w:t>
      </w:r>
      <w:r w:rsidR="005843D6">
        <w:rPr>
          <w:rFonts w:ascii="Constantia" w:hAnsi="Constantia"/>
          <w:sz w:val="24"/>
          <w:szCs w:val="24"/>
          <w:lang w:val="el-GR"/>
        </w:rPr>
        <w:fldChar w:fldCharType="begin"/>
      </w:r>
      <w:r w:rsidR="005843D6">
        <w:rPr>
          <w:rFonts w:ascii="Constantia" w:hAnsi="Constantia"/>
          <w:sz w:val="24"/>
          <w:szCs w:val="24"/>
          <w:lang w:val="el-GR"/>
        </w:rPr>
        <w:instrText xml:space="preserve"> REF _Ref235450930 \h </w:instrText>
      </w:r>
      <w:r w:rsidR="005843D6">
        <w:rPr>
          <w:rFonts w:ascii="Constantia" w:hAnsi="Constantia"/>
          <w:sz w:val="24"/>
          <w:szCs w:val="24"/>
          <w:lang w:val="el-GR"/>
        </w:rPr>
      </w:r>
      <w:r w:rsidR="005843D6">
        <w:rPr>
          <w:rFonts w:ascii="Constantia" w:hAnsi="Constantia"/>
          <w:sz w:val="24"/>
          <w:szCs w:val="24"/>
          <w:lang w:val="el-GR"/>
        </w:rPr>
        <w:fldChar w:fldCharType="separate"/>
      </w:r>
      <w:r w:rsidR="005843D6" w:rsidRPr="00D11D5F">
        <w:rPr>
          <w:rFonts w:asciiTheme="majorHAnsi" w:hAnsiTheme="majorHAnsi" w:cstheme="majorHAnsi"/>
          <w:b/>
          <w:bCs/>
          <w:i/>
          <w:iCs/>
          <w:color w:val="1C6194" w:themeColor="accent2" w:themeShade="BF"/>
          <w:sz w:val="24"/>
          <w:szCs w:val="24"/>
          <w:lang w:val="el-GR"/>
        </w:rPr>
        <w:t xml:space="preserve">Γράφημα </w:t>
      </w:r>
      <w:r w:rsidR="005843D6" w:rsidRPr="00D11D5F">
        <w:rPr>
          <w:rFonts w:asciiTheme="majorHAnsi" w:hAnsiTheme="majorHAnsi" w:cstheme="majorHAnsi"/>
          <w:b/>
          <w:bCs/>
          <w:i/>
          <w:iCs/>
          <w:noProof/>
          <w:color w:val="1C6194" w:themeColor="accent2" w:themeShade="BF"/>
          <w:sz w:val="24"/>
          <w:szCs w:val="24"/>
          <w:lang w:val="el-GR"/>
        </w:rPr>
        <w:t>1</w:t>
      </w:r>
      <w:r w:rsidR="005843D6">
        <w:rPr>
          <w:rFonts w:ascii="Constantia" w:hAnsi="Constantia"/>
          <w:sz w:val="24"/>
          <w:szCs w:val="24"/>
          <w:lang w:val="el-GR"/>
        </w:rPr>
        <w:fldChar w:fldCharType="end"/>
      </w:r>
      <w:r w:rsidRPr="00D11D5F">
        <w:rPr>
          <w:rFonts w:ascii="Constantia" w:hAnsi="Constantia"/>
          <w:sz w:val="24"/>
          <w:szCs w:val="24"/>
          <w:lang w:val="el-GR"/>
        </w:rPr>
        <w:t xml:space="preserve"> αποτυπώνεται η διαχρονική εξέλιξη του δείκτη την περίοδο 2016-2025 στην Ελλάδα. Το 2025, το 34,3% των ατόμων με αναπηρία 16 ετών και άνω, εξακολουθεί να δαπανά υπερβολικά δυσανάλογο μέρος του εισοδήματός του για τη στέγαση, ενώ το ίδιο έτος το αντίστοιχο ποσοστό στον πληθυσμό ατόμων χωρίς αναπηρία βρέθηκε να είναι 24,9%.</w:t>
      </w:r>
    </w:p>
    <w:p w14:paraId="5CCAD869" w14:textId="40473CBD" w:rsidR="00412692" w:rsidRPr="002E31F3" w:rsidRDefault="00412692" w:rsidP="00CD4E02">
      <w:pPr>
        <w:pStyle w:val="a5"/>
        <w:spacing w:before="360" w:after="120"/>
        <w:ind w:left="567" w:right="566"/>
        <w:jc w:val="center"/>
        <w:rPr>
          <w:rFonts w:asciiTheme="majorHAnsi" w:hAnsiTheme="majorHAnsi" w:cstheme="majorHAnsi"/>
          <w:i w:val="0"/>
          <w:iCs w:val="0"/>
          <w:color w:val="1C6194" w:themeColor="accent2" w:themeShade="BF"/>
          <w:sz w:val="24"/>
          <w:szCs w:val="24"/>
          <w:lang w:val="el-GR"/>
        </w:rPr>
      </w:pPr>
      <w:bookmarkStart w:id="11" w:name="_Ref235450930"/>
      <w:bookmarkStart w:id="12" w:name="_Toc171592516"/>
      <w:bookmarkStart w:id="13" w:name="_Toc235457011"/>
      <w:r w:rsidRPr="00D11D5F">
        <w:rPr>
          <w:rFonts w:asciiTheme="majorHAnsi" w:hAnsiTheme="majorHAnsi" w:cstheme="majorHAnsi"/>
          <w:b/>
          <w:bCs/>
          <w:i w:val="0"/>
          <w:iCs w:val="0"/>
          <w:color w:val="1C6194" w:themeColor="accent2" w:themeShade="BF"/>
          <w:sz w:val="24"/>
          <w:szCs w:val="24"/>
          <w:lang w:val="el-GR"/>
        </w:rPr>
        <w:t xml:space="preserve">Γράφημα </w:t>
      </w:r>
      <w:r w:rsidRPr="00D11D5F">
        <w:rPr>
          <w:rFonts w:asciiTheme="majorHAnsi" w:hAnsiTheme="majorHAnsi" w:cstheme="majorHAnsi"/>
          <w:b/>
          <w:bCs/>
          <w:i w:val="0"/>
          <w:iCs w:val="0"/>
          <w:color w:val="1C6194" w:themeColor="accent2" w:themeShade="BF"/>
          <w:sz w:val="24"/>
          <w:szCs w:val="24"/>
        </w:rPr>
        <w:fldChar w:fldCharType="begin"/>
      </w:r>
      <w:r w:rsidRPr="00D11D5F">
        <w:rPr>
          <w:rFonts w:asciiTheme="majorHAnsi" w:hAnsiTheme="majorHAnsi" w:cstheme="majorHAnsi"/>
          <w:b/>
          <w:bCs/>
          <w:i w:val="0"/>
          <w:iCs w:val="0"/>
          <w:color w:val="1C6194" w:themeColor="accent2" w:themeShade="BF"/>
          <w:sz w:val="24"/>
          <w:szCs w:val="24"/>
          <w:lang w:val="el-GR"/>
        </w:rPr>
        <w:instrText xml:space="preserve"> </w:instrText>
      </w:r>
      <w:r w:rsidRPr="00D11D5F">
        <w:rPr>
          <w:rFonts w:asciiTheme="majorHAnsi" w:hAnsiTheme="majorHAnsi" w:cstheme="majorHAnsi"/>
          <w:b/>
          <w:bCs/>
          <w:i w:val="0"/>
          <w:iCs w:val="0"/>
          <w:color w:val="1C6194" w:themeColor="accent2" w:themeShade="BF"/>
          <w:sz w:val="24"/>
          <w:szCs w:val="24"/>
        </w:rPr>
        <w:instrText>SEQ</w:instrText>
      </w:r>
      <w:r w:rsidRPr="00D11D5F">
        <w:rPr>
          <w:rFonts w:asciiTheme="majorHAnsi" w:hAnsiTheme="majorHAnsi" w:cstheme="majorHAnsi"/>
          <w:b/>
          <w:bCs/>
          <w:i w:val="0"/>
          <w:iCs w:val="0"/>
          <w:color w:val="1C6194" w:themeColor="accent2" w:themeShade="BF"/>
          <w:sz w:val="24"/>
          <w:szCs w:val="24"/>
          <w:lang w:val="el-GR"/>
        </w:rPr>
        <w:instrText xml:space="preserve"> Γράφημα \* </w:instrText>
      </w:r>
      <w:r w:rsidRPr="00D11D5F">
        <w:rPr>
          <w:rFonts w:asciiTheme="majorHAnsi" w:hAnsiTheme="majorHAnsi" w:cstheme="majorHAnsi"/>
          <w:b/>
          <w:bCs/>
          <w:i w:val="0"/>
          <w:iCs w:val="0"/>
          <w:color w:val="1C6194" w:themeColor="accent2" w:themeShade="BF"/>
          <w:sz w:val="24"/>
          <w:szCs w:val="24"/>
        </w:rPr>
        <w:instrText>ARABIC</w:instrText>
      </w:r>
      <w:r w:rsidRPr="00D11D5F">
        <w:rPr>
          <w:rFonts w:asciiTheme="majorHAnsi" w:hAnsiTheme="majorHAnsi" w:cstheme="majorHAnsi"/>
          <w:b/>
          <w:bCs/>
          <w:i w:val="0"/>
          <w:iCs w:val="0"/>
          <w:color w:val="1C6194" w:themeColor="accent2" w:themeShade="BF"/>
          <w:sz w:val="24"/>
          <w:szCs w:val="24"/>
          <w:lang w:val="el-GR"/>
        </w:rPr>
        <w:instrText xml:space="preserve"> </w:instrText>
      </w:r>
      <w:r w:rsidRPr="00D11D5F">
        <w:rPr>
          <w:rFonts w:asciiTheme="majorHAnsi" w:hAnsiTheme="majorHAnsi" w:cstheme="majorHAnsi"/>
          <w:b/>
          <w:bCs/>
          <w:i w:val="0"/>
          <w:iCs w:val="0"/>
          <w:color w:val="1C6194" w:themeColor="accent2" w:themeShade="BF"/>
          <w:sz w:val="24"/>
          <w:szCs w:val="24"/>
        </w:rPr>
        <w:fldChar w:fldCharType="separate"/>
      </w:r>
      <w:r w:rsidRPr="00D11D5F">
        <w:rPr>
          <w:rFonts w:asciiTheme="majorHAnsi" w:hAnsiTheme="majorHAnsi" w:cstheme="majorHAnsi"/>
          <w:b/>
          <w:bCs/>
          <w:i w:val="0"/>
          <w:iCs w:val="0"/>
          <w:noProof/>
          <w:color w:val="1C6194" w:themeColor="accent2" w:themeShade="BF"/>
          <w:sz w:val="24"/>
          <w:szCs w:val="24"/>
          <w:lang w:val="el-GR"/>
        </w:rPr>
        <w:t>1</w:t>
      </w:r>
      <w:r w:rsidRPr="00D11D5F">
        <w:rPr>
          <w:rFonts w:asciiTheme="majorHAnsi" w:hAnsiTheme="majorHAnsi" w:cstheme="majorHAnsi"/>
          <w:b/>
          <w:bCs/>
          <w:i w:val="0"/>
          <w:iCs w:val="0"/>
          <w:color w:val="1C6194" w:themeColor="accent2" w:themeShade="BF"/>
          <w:sz w:val="24"/>
          <w:szCs w:val="24"/>
        </w:rPr>
        <w:fldChar w:fldCharType="end"/>
      </w:r>
      <w:bookmarkEnd w:id="11"/>
      <w:r w:rsidRPr="00D11D5F">
        <w:rPr>
          <w:rFonts w:asciiTheme="majorHAnsi" w:hAnsiTheme="majorHAnsi" w:cstheme="majorHAnsi"/>
          <w:i w:val="0"/>
          <w:iCs w:val="0"/>
          <w:color w:val="1C6194" w:themeColor="accent2" w:themeShade="BF"/>
          <w:sz w:val="24"/>
          <w:szCs w:val="24"/>
          <w:lang w:val="el-GR"/>
        </w:rPr>
        <w:t xml:space="preserve">. </w:t>
      </w:r>
      <w:r w:rsidR="00D11D5F" w:rsidRPr="00D11D5F">
        <w:rPr>
          <w:rFonts w:asciiTheme="majorHAnsi" w:hAnsiTheme="majorHAnsi" w:cstheme="majorHAnsi"/>
          <w:i w:val="0"/>
          <w:iCs w:val="0"/>
          <w:color w:val="1C6194" w:themeColor="accent2" w:themeShade="BF"/>
          <w:sz w:val="24"/>
          <w:szCs w:val="24"/>
          <w:lang w:val="el-GR"/>
        </w:rPr>
        <w:t>Ποσοστό ατόμων (16+ ετών) με υπερβολική επιβάρυνση από το κόστος στέγασης</w:t>
      </w:r>
      <w:bookmarkEnd w:id="12"/>
      <w:r w:rsidR="00D11D5F" w:rsidRPr="00D11D5F">
        <w:rPr>
          <w:rFonts w:asciiTheme="majorHAnsi" w:hAnsiTheme="majorHAnsi" w:cstheme="majorHAnsi"/>
          <w:i w:val="0"/>
          <w:iCs w:val="0"/>
          <w:color w:val="1C6194" w:themeColor="accent2" w:themeShade="BF"/>
          <w:sz w:val="24"/>
          <w:szCs w:val="24"/>
          <w:lang w:val="el-GR"/>
        </w:rPr>
        <w:t xml:space="preserve"> και κατάσταση αναπηρίας</w:t>
      </w:r>
      <w:bookmarkEnd w:id="13"/>
    </w:p>
    <w:p w14:paraId="5C5FAACF" w14:textId="03C1908B" w:rsidR="00D11D5F" w:rsidRPr="00D11D5F" w:rsidRDefault="005843D6" w:rsidP="005843D6">
      <w:pPr>
        <w:jc w:val="center"/>
        <w:rPr>
          <w:highlight w:val="yellow"/>
        </w:rPr>
      </w:pPr>
      <w:r>
        <w:rPr>
          <w:noProof/>
        </w:rPr>
        <w:drawing>
          <wp:inline distT="0" distB="0" distL="0" distR="0" wp14:anchorId="33D2E589" wp14:editId="0E7940CB">
            <wp:extent cx="5400040" cy="3027045"/>
            <wp:effectExtent l="0" t="0" r="0" b="1905"/>
            <wp:docPr id="217396420" name="Chart 1" descr="2016: χωρίς αναπηρία 40%  και με αναπηρία 34,1%. 2017: χωρίς αναπηρία 38,7%  και με αναπηρία 34,9%. 2018: χωρίς αναπηρία 38,6%  και με αναπηρία 34,5%. 2019: χωρίς αναπηρία 34,6%  και με αναπηρία 33,7%. 2020: χωρίς αναπηρία 31,9%  και με αναπηρία 29,4%. 2021: χωρίς αναπηρία 28%  και με αναπηρία 24,9%. 2022: χωρίς αναπηρία 25,2%  και με αναπηρία 28,4%. 2023: χωρίς αναπηρία 27,2%  και με αναπηρία 31,5%. 2024: χωρίς αναπηρία 27,6%  και με αναπηρία 33%. 2025: χωρίς αναπηρία 24,9%  και με αναπηρία 34,3%.">
              <a:extLst xmlns:a="http://schemas.openxmlformats.org/drawingml/2006/main">
                <a:ext uri="{FF2B5EF4-FFF2-40B4-BE49-F238E27FC236}">
                  <a16:creationId xmlns:a16="http://schemas.microsoft.com/office/drawing/2014/main" id="{CA696E5B-8BAD-444C-A1B9-311108486B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72C3131" w14:textId="3B51E0E3" w:rsidR="00412692" w:rsidRPr="002E31F3" w:rsidRDefault="00412692" w:rsidP="00412692">
      <w:pPr>
        <w:pStyle w:val="a5"/>
        <w:jc w:val="center"/>
        <w:rPr>
          <w:rFonts w:asciiTheme="majorHAnsi" w:hAnsiTheme="majorHAnsi" w:cstheme="majorHAnsi"/>
          <w:color w:val="1C6194" w:themeColor="accent2" w:themeShade="BF"/>
          <w:lang w:val="el-GR"/>
        </w:rPr>
      </w:pPr>
      <w:r w:rsidRPr="00D11D5F">
        <w:rPr>
          <w:rFonts w:asciiTheme="majorHAnsi" w:hAnsiTheme="majorHAnsi" w:cstheme="majorHAnsi"/>
          <w:b/>
          <w:bCs/>
          <w:color w:val="1C6194" w:themeColor="accent2" w:themeShade="BF"/>
          <w:lang w:val="el-GR"/>
        </w:rPr>
        <w:t>Πηγή</w:t>
      </w:r>
      <w:r w:rsidRPr="00D11D5F">
        <w:rPr>
          <w:rFonts w:asciiTheme="majorHAnsi" w:hAnsiTheme="majorHAnsi" w:cstheme="majorHAnsi"/>
          <w:color w:val="1C6194" w:themeColor="accent2" w:themeShade="BF"/>
          <w:lang w:val="el-GR"/>
        </w:rPr>
        <w:t xml:space="preserve">: Στοιχεία </w:t>
      </w:r>
      <w:r w:rsidR="00D11D5F" w:rsidRPr="00D11D5F">
        <w:rPr>
          <w:rFonts w:asciiTheme="majorHAnsi" w:hAnsiTheme="majorHAnsi" w:cstheme="majorHAnsi"/>
          <w:color w:val="1C6194" w:themeColor="accent2" w:themeShade="BF"/>
        </w:rPr>
        <w:t>Eurostat</w:t>
      </w:r>
      <w:r w:rsidR="00DA60A6" w:rsidRPr="002E31F3">
        <w:rPr>
          <w:rFonts w:asciiTheme="majorHAnsi" w:hAnsiTheme="majorHAnsi" w:cstheme="majorHAnsi"/>
          <w:color w:val="1C6194" w:themeColor="accent2" w:themeShade="BF"/>
          <w:lang w:val="el-GR"/>
        </w:rPr>
        <w:t xml:space="preserve"> </w:t>
      </w:r>
      <w:r w:rsidRPr="00D11D5F">
        <w:rPr>
          <w:rFonts w:asciiTheme="majorHAnsi" w:hAnsiTheme="majorHAnsi" w:cstheme="majorHAnsi"/>
          <w:color w:val="1C6194" w:themeColor="accent2" w:themeShade="BF"/>
          <w:lang w:val="el-GR"/>
        </w:rPr>
        <w:t xml:space="preserve">/ </w:t>
      </w:r>
      <w:r w:rsidRPr="00D11D5F">
        <w:rPr>
          <w:rFonts w:asciiTheme="majorHAnsi" w:hAnsiTheme="majorHAnsi" w:cstheme="majorHAnsi"/>
          <w:b/>
          <w:bCs/>
          <w:color w:val="1C6194" w:themeColor="accent2" w:themeShade="BF"/>
          <w:lang w:val="el-GR"/>
        </w:rPr>
        <w:t>Επεξεργασία δεδομένων</w:t>
      </w:r>
      <w:r w:rsidRPr="00D11D5F">
        <w:rPr>
          <w:rFonts w:asciiTheme="majorHAnsi" w:hAnsiTheme="majorHAnsi" w:cstheme="majorHAnsi"/>
          <w:color w:val="1C6194" w:themeColor="accent2" w:themeShade="BF"/>
          <w:lang w:val="el-GR"/>
        </w:rPr>
        <w:t>: Εθνική Συνομοσπονδία Ατόμων με Αναπηρία</w:t>
      </w:r>
      <w:r w:rsidR="00DA60A6" w:rsidRPr="002E31F3">
        <w:rPr>
          <w:rFonts w:asciiTheme="majorHAnsi" w:hAnsiTheme="majorHAnsi" w:cstheme="majorHAnsi"/>
          <w:color w:val="1C6194" w:themeColor="accent2" w:themeShade="BF"/>
          <w:lang w:val="el-GR"/>
        </w:rPr>
        <w:t xml:space="preserve"> (</w:t>
      </w:r>
      <w:r w:rsidRPr="00D11D5F">
        <w:rPr>
          <w:rFonts w:asciiTheme="majorHAnsi" w:hAnsiTheme="majorHAnsi" w:cstheme="majorHAnsi"/>
          <w:color w:val="1C6194" w:themeColor="accent2" w:themeShade="BF"/>
          <w:lang w:val="el-GR"/>
        </w:rPr>
        <w:t>ΕΣΑμεΑ</w:t>
      </w:r>
      <w:r w:rsidR="00DA60A6" w:rsidRPr="002E31F3">
        <w:rPr>
          <w:rFonts w:asciiTheme="majorHAnsi" w:hAnsiTheme="majorHAnsi" w:cstheme="majorHAnsi"/>
          <w:color w:val="1C6194" w:themeColor="accent2" w:themeShade="BF"/>
          <w:lang w:val="el-GR"/>
        </w:rPr>
        <w:t>)</w:t>
      </w:r>
    </w:p>
    <w:p w14:paraId="07C332B7" w14:textId="0E565FF6" w:rsidR="00262178" w:rsidRPr="002E31F3" w:rsidRDefault="00262178" w:rsidP="002910B5">
      <w:pPr>
        <w:spacing w:before="160"/>
        <w:jc w:val="both"/>
        <w:rPr>
          <w:rFonts w:ascii="Constantia" w:hAnsi="Constantia"/>
          <w:sz w:val="24"/>
          <w:szCs w:val="24"/>
          <w:lang w:val="el-GR"/>
        </w:rPr>
      </w:pPr>
      <w:r w:rsidRPr="00262178">
        <w:rPr>
          <w:rFonts w:ascii="Constantia" w:hAnsi="Constantia"/>
          <w:sz w:val="24"/>
          <w:szCs w:val="24"/>
          <w:lang w:val="el-GR"/>
        </w:rPr>
        <w:t>Το συνολικό αποτύπωμα της δεκαετίας 2016-2025 στην οικονομική επιβάρυνση των ατόμων με αναπηρία από το κόστος στέγασης είναι αρνητικό και δυσανάλογο, με τη στεγαστική ανισότητα να διευρύνεται κατά την εξεταζόμενη περίοδο.</w:t>
      </w:r>
    </w:p>
    <w:p w14:paraId="667D39FF" w14:textId="7A995596" w:rsidR="00262178" w:rsidRPr="002E31F3" w:rsidRDefault="00262178" w:rsidP="002910B5">
      <w:pPr>
        <w:spacing w:before="160"/>
        <w:jc w:val="both"/>
        <w:rPr>
          <w:rFonts w:ascii="Constantia" w:hAnsi="Constantia"/>
          <w:sz w:val="24"/>
          <w:szCs w:val="24"/>
          <w:lang w:val="el-GR"/>
        </w:rPr>
      </w:pPr>
      <w:r w:rsidRPr="00262178">
        <w:rPr>
          <w:rFonts w:ascii="Constantia" w:hAnsi="Constantia"/>
          <w:sz w:val="24"/>
          <w:szCs w:val="24"/>
          <w:lang w:val="el-GR"/>
        </w:rPr>
        <w:t>Ενώ στα άτομα χωρίς αναπηρία ο δείκτης μειώνεται κατά 15 ποσοστιαίες μονάδες κατά τη δεκαετία 2016 -2025, στα άτομα με αναπηρία, η δραματική επιδείνωση που έλαβε χώρα με την κορύφωση της πληθωριστικής κρίσης το 2022, ανέστρεψε την πρόοδο της προηγούμενης πενταετίας</w:t>
      </w:r>
      <w:r>
        <w:rPr>
          <w:rFonts w:ascii="Constantia" w:hAnsi="Constantia"/>
          <w:sz w:val="24"/>
          <w:szCs w:val="24"/>
          <w:lang w:val="el-GR"/>
        </w:rPr>
        <w:t xml:space="preserve">, </w:t>
      </w:r>
      <w:r w:rsidRPr="00262178">
        <w:rPr>
          <w:rFonts w:ascii="Constantia" w:hAnsi="Constantia"/>
          <w:sz w:val="24"/>
          <w:szCs w:val="24"/>
          <w:lang w:val="el-GR"/>
        </w:rPr>
        <w:t xml:space="preserve">επαναφέροντας το ποσοστό των ατόμων με αναπηρία και υπερβολική επιβάρυνση </w:t>
      </w:r>
      <w:r>
        <w:rPr>
          <w:rFonts w:ascii="Constantia" w:hAnsi="Constantia"/>
          <w:sz w:val="24"/>
          <w:szCs w:val="24"/>
          <w:lang w:val="el-GR"/>
        </w:rPr>
        <w:t>στεγαστικού κόστους</w:t>
      </w:r>
      <w:r w:rsidRPr="00262178">
        <w:rPr>
          <w:rFonts w:ascii="Constantia" w:hAnsi="Constantia"/>
          <w:sz w:val="24"/>
          <w:szCs w:val="24"/>
          <w:lang w:val="el-GR"/>
        </w:rPr>
        <w:t xml:space="preserve"> στ</w:t>
      </w:r>
      <w:r>
        <w:rPr>
          <w:rFonts w:ascii="Constantia" w:hAnsi="Constantia"/>
          <w:sz w:val="24"/>
          <w:szCs w:val="24"/>
          <w:lang w:val="el-GR"/>
        </w:rPr>
        <w:t xml:space="preserve">α </w:t>
      </w:r>
      <w:r w:rsidRPr="00262178">
        <w:rPr>
          <w:rFonts w:ascii="Constantia" w:hAnsi="Constantia"/>
          <w:sz w:val="24"/>
          <w:szCs w:val="24"/>
          <w:lang w:val="el-GR"/>
        </w:rPr>
        <w:t>επίπεδ</w:t>
      </w:r>
      <w:r>
        <w:rPr>
          <w:rFonts w:ascii="Constantia" w:hAnsi="Constantia"/>
          <w:sz w:val="24"/>
          <w:szCs w:val="24"/>
          <w:lang w:val="el-GR"/>
        </w:rPr>
        <w:t>α</w:t>
      </w:r>
      <w:r w:rsidRPr="00262178">
        <w:rPr>
          <w:rFonts w:ascii="Constantia" w:hAnsi="Constantia"/>
          <w:sz w:val="24"/>
          <w:szCs w:val="24"/>
          <w:lang w:val="el-GR"/>
        </w:rPr>
        <w:t xml:space="preserve"> του 2016.</w:t>
      </w:r>
    </w:p>
    <w:p w14:paraId="04026488" w14:textId="63679B56" w:rsidR="00262178" w:rsidRPr="002E31F3" w:rsidRDefault="00262178" w:rsidP="002910B5">
      <w:pPr>
        <w:spacing w:before="160"/>
        <w:jc w:val="both"/>
        <w:rPr>
          <w:rFonts w:ascii="Constantia" w:hAnsi="Constantia"/>
          <w:sz w:val="24"/>
          <w:szCs w:val="24"/>
          <w:lang w:val="el-GR"/>
        </w:rPr>
      </w:pPr>
      <w:r>
        <w:rPr>
          <w:rFonts w:ascii="Constantia" w:hAnsi="Constantia"/>
          <w:sz w:val="24"/>
          <w:szCs w:val="24"/>
          <w:lang w:val="el-GR"/>
        </w:rPr>
        <w:t>Η</w:t>
      </w:r>
      <w:r w:rsidRPr="00262178">
        <w:rPr>
          <w:rFonts w:ascii="Constantia" w:hAnsi="Constantia"/>
          <w:sz w:val="24"/>
          <w:szCs w:val="24"/>
          <w:lang w:val="el-GR"/>
        </w:rPr>
        <w:t xml:space="preserve"> διαχρονική εξέλιξη του δείκτη για τα άτομα με αναπηρία παρουσιάζει μια χαρακτηριστική </w:t>
      </w:r>
      <w:r>
        <w:rPr>
          <w:rFonts w:ascii="Constantia" w:hAnsi="Constantia"/>
          <w:sz w:val="24"/>
          <w:szCs w:val="24"/>
          <w:lang w:val="el-GR"/>
        </w:rPr>
        <w:t xml:space="preserve">πορεία σε σχήμα </w:t>
      </w:r>
      <w:r>
        <w:rPr>
          <w:rFonts w:ascii="Constantia" w:hAnsi="Constantia"/>
          <w:sz w:val="24"/>
          <w:szCs w:val="24"/>
        </w:rPr>
        <w:t>V</w:t>
      </w:r>
      <w:r w:rsidRPr="00262178">
        <w:rPr>
          <w:rFonts w:ascii="Constantia" w:hAnsi="Constantia"/>
          <w:sz w:val="24"/>
          <w:szCs w:val="24"/>
          <w:lang w:val="el-GR"/>
        </w:rPr>
        <w:t>, με σημείο καμπής το 2021 και δύο διακριτές φάσεις:</w:t>
      </w:r>
      <w:r w:rsidR="005843D6" w:rsidRPr="002E31F3">
        <w:rPr>
          <w:rFonts w:ascii="Constantia" w:hAnsi="Constantia"/>
          <w:sz w:val="24"/>
          <w:szCs w:val="24"/>
          <w:lang w:val="el-GR"/>
        </w:rPr>
        <w:t xml:space="preserve"> </w:t>
      </w:r>
      <w:r w:rsidRPr="00262178">
        <w:rPr>
          <w:rFonts w:ascii="Constantia" w:hAnsi="Constantia"/>
          <w:sz w:val="24"/>
          <w:szCs w:val="24"/>
          <w:lang w:val="el-GR"/>
        </w:rPr>
        <w:t xml:space="preserve">Ένα διάστημα αποκλιμάκωσης του δείκτη από το 2017 έως το 2021, και μια περίοδο </w:t>
      </w:r>
      <w:r>
        <w:rPr>
          <w:rFonts w:ascii="Constantia" w:hAnsi="Constantia"/>
          <w:sz w:val="24"/>
          <w:szCs w:val="24"/>
          <w:lang w:val="el-GR"/>
        </w:rPr>
        <w:t xml:space="preserve">εκ νέου επιδείνωσης </w:t>
      </w:r>
      <w:r w:rsidRPr="00262178">
        <w:rPr>
          <w:rFonts w:ascii="Constantia" w:hAnsi="Constantia"/>
          <w:sz w:val="24"/>
          <w:szCs w:val="24"/>
          <w:lang w:val="el-GR"/>
        </w:rPr>
        <w:t>από το 2022 έως το 2025</w:t>
      </w:r>
      <w:r w:rsidR="009358B3">
        <w:rPr>
          <w:rFonts w:ascii="Constantia" w:hAnsi="Constantia"/>
          <w:sz w:val="24"/>
          <w:szCs w:val="24"/>
          <w:lang w:val="el-GR"/>
        </w:rPr>
        <w:t xml:space="preserve">, </w:t>
      </w:r>
      <w:r w:rsidRPr="00262178">
        <w:rPr>
          <w:rFonts w:ascii="Constantia" w:hAnsi="Constantia"/>
          <w:sz w:val="24"/>
          <w:szCs w:val="24"/>
          <w:lang w:val="el-GR"/>
        </w:rPr>
        <w:t>όπου ο Δείκτης καταγράφει σταθερή ανοδική πορεία.</w:t>
      </w:r>
    </w:p>
    <w:p w14:paraId="406D6AEE" w14:textId="6B938AE3" w:rsidR="00D11D5F" w:rsidRDefault="00262178" w:rsidP="002910B5">
      <w:pPr>
        <w:spacing w:before="160"/>
        <w:jc w:val="both"/>
        <w:rPr>
          <w:rFonts w:ascii="Constantia" w:hAnsi="Constantia"/>
          <w:sz w:val="24"/>
          <w:szCs w:val="24"/>
          <w:highlight w:val="yellow"/>
          <w:lang w:val="el-GR"/>
        </w:rPr>
      </w:pPr>
      <w:r w:rsidRPr="00262178">
        <w:rPr>
          <w:rFonts w:ascii="Constantia" w:hAnsi="Constantia"/>
          <w:sz w:val="24"/>
          <w:szCs w:val="24"/>
          <w:lang w:val="el-GR"/>
        </w:rPr>
        <w:t>Πιο αναλυτικά, το διάστημα 2017 με 2021 ο Δείκτης υπερβολικής επιβάρυνσης από το κόστος στέγασης υποχωρεί κατά 10 ποσοστιαίες μονάδες (από 34,9% το 2017 σε 24,9% το 2021). Το 2022 η τάση αντιστρέφεται και ο δείκτης καταγράφει νέα ανοδική πορεία με το ποσοστό των ατόμων με αναπηρία που επιβαρύνεται υπερβολικά από το κόστος της στέγασης να ανέρχεται το 2025 στο 34,3%, που είναι και η χειρότερη τιμή που έλαβε ο δείκτης την δεκαετία αναφοράς.</w:t>
      </w:r>
    </w:p>
    <w:p w14:paraId="3DEBBF95" w14:textId="49FC1431" w:rsidR="00EF74CA" w:rsidRPr="000E37EE" w:rsidRDefault="00EF74CA" w:rsidP="00B45D0B">
      <w:pPr>
        <w:pStyle w:val="2"/>
        <w:spacing w:before="360" w:after="240"/>
        <w:ind w:left="578" w:right="-142" w:hanging="578"/>
        <w:jc w:val="left"/>
        <w:rPr>
          <w:sz w:val="26"/>
          <w:szCs w:val="26"/>
        </w:rPr>
      </w:pPr>
      <w:bookmarkStart w:id="14" w:name="_Toc235457006"/>
      <w:r w:rsidRPr="000E37EE">
        <w:rPr>
          <w:sz w:val="26"/>
          <w:szCs w:val="26"/>
        </w:rPr>
        <w:t>Η θέση της Ελλάδας στην ΕΕ των 27 στον Δείκτη «Ποσοστό ατόμων με αναπηρία (16+ ετών) και υπερβολική επιβάρυνση από το κόστος στέγασης»</w:t>
      </w:r>
      <w:bookmarkEnd w:id="14"/>
    </w:p>
    <w:p w14:paraId="231EE106" w14:textId="47C82BC8" w:rsidR="00EF74CA" w:rsidRPr="002E31F3" w:rsidRDefault="00EF74CA" w:rsidP="00EF74CA">
      <w:pPr>
        <w:jc w:val="both"/>
        <w:rPr>
          <w:rFonts w:ascii="Constantia" w:hAnsi="Constantia"/>
          <w:sz w:val="24"/>
          <w:szCs w:val="24"/>
          <w:lang w:val="el-GR"/>
        </w:rPr>
      </w:pPr>
      <w:r>
        <w:rPr>
          <w:rFonts w:ascii="Constantia" w:hAnsi="Constantia"/>
          <w:sz w:val="24"/>
          <w:szCs w:val="24"/>
          <w:lang w:val="el-GR"/>
        </w:rPr>
        <w:t xml:space="preserve">Το </w:t>
      </w:r>
      <w:r w:rsidR="005843D6">
        <w:rPr>
          <w:rFonts w:ascii="Constantia" w:hAnsi="Constantia"/>
          <w:sz w:val="24"/>
          <w:szCs w:val="24"/>
          <w:lang w:val="el-GR"/>
        </w:rPr>
        <w:fldChar w:fldCharType="begin"/>
      </w:r>
      <w:r w:rsidR="005843D6">
        <w:rPr>
          <w:rFonts w:ascii="Constantia" w:hAnsi="Constantia"/>
          <w:sz w:val="24"/>
          <w:szCs w:val="24"/>
          <w:lang w:val="el-GR"/>
        </w:rPr>
        <w:instrText xml:space="preserve"> REF _Ref235450949 \h </w:instrText>
      </w:r>
      <w:r w:rsidR="005843D6">
        <w:rPr>
          <w:rFonts w:ascii="Constantia" w:hAnsi="Constantia"/>
          <w:sz w:val="24"/>
          <w:szCs w:val="24"/>
          <w:lang w:val="el-GR"/>
        </w:rPr>
      </w:r>
      <w:r w:rsidR="005843D6">
        <w:rPr>
          <w:rFonts w:ascii="Constantia" w:hAnsi="Constantia"/>
          <w:sz w:val="24"/>
          <w:szCs w:val="24"/>
          <w:lang w:val="el-GR"/>
        </w:rPr>
        <w:fldChar w:fldCharType="separate"/>
      </w:r>
      <w:r w:rsidR="005843D6" w:rsidRPr="00EF74CA">
        <w:rPr>
          <w:rFonts w:asciiTheme="majorHAnsi" w:hAnsiTheme="majorHAnsi" w:cstheme="majorHAnsi"/>
          <w:b/>
          <w:bCs/>
          <w:i/>
          <w:iCs/>
          <w:color w:val="1C6194" w:themeColor="accent2" w:themeShade="BF"/>
          <w:sz w:val="24"/>
          <w:szCs w:val="24"/>
          <w:lang w:val="el-GR"/>
        </w:rPr>
        <w:t xml:space="preserve">Γράφημα </w:t>
      </w:r>
      <w:r w:rsidR="005843D6" w:rsidRPr="00EF74CA">
        <w:rPr>
          <w:rFonts w:asciiTheme="majorHAnsi" w:hAnsiTheme="majorHAnsi" w:cstheme="majorHAnsi"/>
          <w:b/>
          <w:bCs/>
          <w:i/>
          <w:iCs/>
          <w:noProof/>
          <w:color w:val="1C6194" w:themeColor="accent2" w:themeShade="BF"/>
          <w:sz w:val="24"/>
          <w:szCs w:val="24"/>
          <w:lang w:val="el-GR"/>
        </w:rPr>
        <w:t>2</w:t>
      </w:r>
      <w:r w:rsidR="005843D6">
        <w:rPr>
          <w:rFonts w:ascii="Constantia" w:hAnsi="Constantia"/>
          <w:sz w:val="24"/>
          <w:szCs w:val="24"/>
          <w:lang w:val="el-GR"/>
        </w:rPr>
        <w:fldChar w:fldCharType="end"/>
      </w:r>
      <w:r w:rsidR="005843D6" w:rsidRPr="002E31F3">
        <w:rPr>
          <w:rFonts w:ascii="Constantia" w:hAnsi="Constantia"/>
          <w:sz w:val="24"/>
          <w:szCs w:val="24"/>
          <w:lang w:val="el-GR"/>
        </w:rPr>
        <w:t xml:space="preserve"> </w:t>
      </w:r>
      <w:r>
        <w:rPr>
          <w:rFonts w:ascii="Constantia" w:hAnsi="Constantia"/>
          <w:sz w:val="24"/>
          <w:szCs w:val="24"/>
          <w:lang w:val="el-GR"/>
        </w:rPr>
        <w:t xml:space="preserve">αποτυπώνει τη θέση της Ελλάδας αναφορικά με την επιβάρυνση από το κόστος στέγασης μεταξύ των 27 κρατών μελών της Ε.Ε. Τα στοιχεία καταδεικνύουν </w:t>
      </w:r>
      <w:r w:rsidRPr="00EA39EF">
        <w:rPr>
          <w:rFonts w:ascii="Constantia" w:hAnsi="Constantia"/>
          <w:sz w:val="24"/>
          <w:szCs w:val="24"/>
          <w:lang w:val="el-GR"/>
        </w:rPr>
        <w:t>σημαντικές διαφοροποιήσεις μεταξύ των μελών της Ευρωπαϊκής Ένωσης ως προς το ποσοστό των ατόμων με αναπηρία που επιβαρύνονται υπέρμετρα από το κόστος στέγασης.</w:t>
      </w:r>
    </w:p>
    <w:p w14:paraId="434A9EF1" w14:textId="47D7F506" w:rsidR="00EF74CA" w:rsidRPr="00225FFF" w:rsidRDefault="00EF74CA" w:rsidP="00EF74CA">
      <w:pPr>
        <w:jc w:val="both"/>
        <w:rPr>
          <w:rFonts w:ascii="Constantia" w:hAnsi="Constantia"/>
          <w:sz w:val="24"/>
          <w:szCs w:val="24"/>
          <w:lang w:val="el-GR"/>
        </w:rPr>
      </w:pPr>
      <w:r>
        <w:rPr>
          <w:rFonts w:ascii="Constantia" w:hAnsi="Constantia"/>
          <w:sz w:val="24"/>
          <w:szCs w:val="24"/>
          <w:lang w:val="el-GR"/>
        </w:rPr>
        <w:t xml:space="preserve">Το εύρος της διαφοροποίησης είναι μεγάλο και οι </w:t>
      </w:r>
      <w:r w:rsidRPr="00EA39EF">
        <w:rPr>
          <w:rFonts w:ascii="Constantia" w:hAnsi="Constantia"/>
          <w:sz w:val="24"/>
          <w:szCs w:val="24"/>
          <w:lang w:val="el-GR"/>
        </w:rPr>
        <w:t xml:space="preserve">τιμές κυμαίνονται από μόλις </w:t>
      </w:r>
      <w:r w:rsidRPr="00225FFF">
        <w:rPr>
          <w:rFonts w:ascii="Constantia" w:hAnsi="Constantia"/>
          <w:sz w:val="24"/>
          <w:szCs w:val="24"/>
          <w:lang w:val="el-GR"/>
        </w:rPr>
        <w:t>2,1% στην Κύπρο</w:t>
      </w:r>
      <w:r w:rsidRPr="00EA39EF">
        <w:rPr>
          <w:rFonts w:ascii="Constantia" w:hAnsi="Constantia"/>
          <w:sz w:val="24"/>
          <w:szCs w:val="24"/>
          <w:lang w:val="el-GR"/>
        </w:rPr>
        <w:t xml:space="preserve"> έως </w:t>
      </w:r>
      <w:r w:rsidRPr="00225FFF">
        <w:rPr>
          <w:rFonts w:ascii="Constantia" w:hAnsi="Constantia"/>
          <w:sz w:val="24"/>
          <w:szCs w:val="24"/>
          <w:lang w:val="el-GR"/>
        </w:rPr>
        <w:t>34,3% στην Ελλάδα</w:t>
      </w:r>
      <w:r w:rsidRPr="00EA39EF">
        <w:rPr>
          <w:rFonts w:ascii="Constantia" w:hAnsi="Constantia"/>
          <w:sz w:val="24"/>
          <w:szCs w:val="24"/>
          <w:lang w:val="el-GR"/>
        </w:rPr>
        <w:t xml:space="preserve">, γεγονός που καταδεικνύει </w:t>
      </w:r>
      <w:r w:rsidRPr="00225FFF">
        <w:rPr>
          <w:rFonts w:ascii="Constantia" w:hAnsi="Constantia"/>
          <w:sz w:val="24"/>
          <w:szCs w:val="24"/>
          <w:lang w:val="el-GR"/>
        </w:rPr>
        <w:t>έντονες ανισότητες στην οικονομική προσιτότητα της στέγασης για τα άτομα με αναπηρία στην ΕΕ των 27.</w:t>
      </w:r>
    </w:p>
    <w:p w14:paraId="20C067E2" w14:textId="7D47DF08" w:rsidR="00EF74CA" w:rsidRDefault="00EF74CA" w:rsidP="00EF74CA">
      <w:pPr>
        <w:jc w:val="both"/>
        <w:rPr>
          <w:rFonts w:ascii="Constantia" w:hAnsi="Constantia"/>
          <w:sz w:val="24"/>
          <w:szCs w:val="24"/>
          <w:lang w:val="el-GR"/>
        </w:rPr>
      </w:pPr>
      <w:r>
        <w:rPr>
          <w:rFonts w:ascii="Constantia" w:hAnsi="Constantia"/>
          <w:sz w:val="24"/>
          <w:szCs w:val="24"/>
          <w:lang w:val="el-GR"/>
        </w:rPr>
        <w:t>Ωστόσο, ο</w:t>
      </w:r>
      <w:r w:rsidRPr="00EA39EF">
        <w:rPr>
          <w:rFonts w:ascii="Constantia" w:hAnsi="Constantia"/>
          <w:sz w:val="24"/>
          <w:szCs w:val="24"/>
          <w:lang w:val="el-GR"/>
        </w:rPr>
        <w:t xml:space="preserve"> </w:t>
      </w:r>
      <w:r>
        <w:rPr>
          <w:rFonts w:ascii="Constantia" w:hAnsi="Constantia"/>
          <w:sz w:val="24"/>
          <w:szCs w:val="24"/>
          <w:lang w:val="el-GR"/>
        </w:rPr>
        <w:t xml:space="preserve">σταθμισμένος </w:t>
      </w:r>
      <w:r w:rsidRPr="00EA39EF">
        <w:rPr>
          <w:rFonts w:ascii="Constantia" w:hAnsi="Constantia"/>
          <w:sz w:val="24"/>
          <w:szCs w:val="24"/>
          <w:lang w:val="el-GR"/>
        </w:rPr>
        <w:t xml:space="preserve">μέσος όρος της Ευρωπαϊκής Ένωσης υπολογίζεται στο 9,9% με τις περισσότερες χώρες </w:t>
      </w:r>
      <w:r>
        <w:rPr>
          <w:rFonts w:ascii="Constantia" w:hAnsi="Constantia"/>
          <w:sz w:val="24"/>
          <w:szCs w:val="24"/>
          <w:lang w:val="el-GR"/>
        </w:rPr>
        <w:t xml:space="preserve">ωστόσο </w:t>
      </w:r>
      <w:r w:rsidRPr="00EA39EF">
        <w:rPr>
          <w:rFonts w:ascii="Constantia" w:hAnsi="Constantia"/>
          <w:sz w:val="24"/>
          <w:szCs w:val="24"/>
          <w:lang w:val="el-GR"/>
        </w:rPr>
        <w:t xml:space="preserve">να </w:t>
      </w:r>
      <w:r>
        <w:rPr>
          <w:rFonts w:ascii="Constantia" w:hAnsi="Constantia"/>
          <w:sz w:val="24"/>
          <w:szCs w:val="24"/>
          <w:lang w:val="el-GR"/>
        </w:rPr>
        <w:t xml:space="preserve">τοποθετούνται σε χαμηλότερα επίπεδα. </w:t>
      </w:r>
    </w:p>
    <w:p w14:paraId="6B46EF6C" w14:textId="6544692D" w:rsidR="00EF74CA" w:rsidRPr="002E31F3" w:rsidRDefault="00EF74CA" w:rsidP="00EF74CA">
      <w:pPr>
        <w:jc w:val="both"/>
        <w:rPr>
          <w:rFonts w:ascii="Constantia" w:hAnsi="Constantia"/>
          <w:sz w:val="24"/>
          <w:szCs w:val="24"/>
          <w:lang w:val="el-GR"/>
        </w:rPr>
      </w:pPr>
      <w:r>
        <w:rPr>
          <w:rFonts w:ascii="Constantia" w:hAnsi="Constantia"/>
          <w:sz w:val="24"/>
          <w:szCs w:val="24"/>
          <w:lang w:val="el-GR"/>
        </w:rPr>
        <w:t>Πιο αναλυτικά, μ</w:t>
      </w:r>
      <w:r w:rsidRPr="00EA39EF">
        <w:rPr>
          <w:rFonts w:ascii="Constantia" w:hAnsi="Constantia"/>
          <w:sz w:val="24"/>
          <w:szCs w:val="24"/>
          <w:lang w:val="el-GR"/>
        </w:rPr>
        <w:t>όνο 7 χώρες τις ΕΕ</w:t>
      </w:r>
      <w:r>
        <w:rPr>
          <w:rFonts w:ascii="Constantia" w:hAnsi="Constantia"/>
          <w:sz w:val="24"/>
          <w:szCs w:val="24"/>
          <w:lang w:val="el-GR"/>
        </w:rPr>
        <w:t xml:space="preserve"> </w:t>
      </w:r>
      <w:r w:rsidRPr="00EA39EF">
        <w:rPr>
          <w:rFonts w:ascii="Constantia" w:hAnsi="Constantia"/>
          <w:sz w:val="24"/>
          <w:szCs w:val="24"/>
          <w:lang w:val="el-GR"/>
        </w:rPr>
        <w:t>εμφανίζουν ποσοστά υψηλότερα του μέσου όρου</w:t>
      </w:r>
      <w:r>
        <w:rPr>
          <w:rFonts w:ascii="Constantia" w:hAnsi="Constantia"/>
          <w:sz w:val="24"/>
          <w:szCs w:val="24"/>
          <w:lang w:val="el-GR"/>
        </w:rPr>
        <w:t>,</w:t>
      </w:r>
      <w:r w:rsidRPr="00EF045E">
        <w:rPr>
          <w:rFonts w:ascii="Constantia" w:hAnsi="Constantia"/>
          <w:sz w:val="24"/>
          <w:szCs w:val="24"/>
          <w:lang w:val="el-GR"/>
        </w:rPr>
        <w:t xml:space="preserve"> </w:t>
      </w:r>
      <w:r w:rsidRPr="00EA39EF">
        <w:rPr>
          <w:rFonts w:ascii="Constantia" w:hAnsi="Constantia"/>
          <w:sz w:val="24"/>
          <w:szCs w:val="24"/>
          <w:lang w:val="el-GR"/>
        </w:rPr>
        <w:t>με την Ελλάδα να βρίσκεται στη χειρότερη θέση.</w:t>
      </w:r>
    </w:p>
    <w:p w14:paraId="1B5BEFC8" w14:textId="0C83D52B" w:rsidR="00EF74CA" w:rsidRPr="002E31F3" w:rsidRDefault="00EF74CA" w:rsidP="00EF74CA">
      <w:pPr>
        <w:jc w:val="both"/>
        <w:rPr>
          <w:rFonts w:ascii="Constantia" w:hAnsi="Constantia"/>
          <w:sz w:val="24"/>
          <w:szCs w:val="24"/>
          <w:lang w:val="el-GR"/>
        </w:rPr>
      </w:pPr>
      <w:r w:rsidRPr="00EA39EF">
        <w:rPr>
          <w:rFonts w:ascii="Constantia" w:hAnsi="Constantia"/>
          <w:sz w:val="24"/>
          <w:szCs w:val="24"/>
          <w:lang w:val="el-GR"/>
        </w:rPr>
        <w:t xml:space="preserve">Ενδιαφέρον έχει </w:t>
      </w:r>
      <w:r>
        <w:rPr>
          <w:rFonts w:ascii="Constantia" w:hAnsi="Constantia"/>
          <w:sz w:val="24"/>
          <w:szCs w:val="24"/>
          <w:lang w:val="el-GR"/>
        </w:rPr>
        <w:t xml:space="preserve">ωστόσο </w:t>
      </w:r>
      <w:r w:rsidRPr="00EA39EF">
        <w:rPr>
          <w:rFonts w:ascii="Constantia" w:hAnsi="Constantia"/>
          <w:sz w:val="24"/>
          <w:szCs w:val="24"/>
          <w:lang w:val="el-GR"/>
        </w:rPr>
        <w:t xml:space="preserve">ότι στη δεύτερη και τρίτη θέση κατά φθίνουσα σειρά βρίσκονται η Δανία και η Σουηδία, χώρες δηλαδή με </w:t>
      </w:r>
      <w:r>
        <w:rPr>
          <w:rFonts w:ascii="Constantia" w:hAnsi="Constantia"/>
          <w:sz w:val="24"/>
          <w:szCs w:val="24"/>
          <w:lang w:val="el-GR"/>
        </w:rPr>
        <w:t>σημαντικά</w:t>
      </w:r>
      <w:r w:rsidRPr="00EA39EF">
        <w:rPr>
          <w:rFonts w:ascii="Constantia" w:hAnsi="Constantia"/>
          <w:sz w:val="24"/>
          <w:szCs w:val="24"/>
          <w:lang w:val="el-GR"/>
        </w:rPr>
        <w:t xml:space="preserve"> διαφορετική κοινωνική και οικονομική οργάνωση και υψηλό επίπεδο κοινωνικών παροχών.</w:t>
      </w:r>
    </w:p>
    <w:p w14:paraId="24C30DC9" w14:textId="0E982896" w:rsidR="00412692" w:rsidRPr="00EF74CA" w:rsidRDefault="00412692" w:rsidP="00CD4E02">
      <w:pPr>
        <w:pStyle w:val="a5"/>
        <w:spacing w:before="240" w:after="0"/>
        <w:ind w:left="567" w:right="566"/>
        <w:jc w:val="center"/>
        <w:rPr>
          <w:rFonts w:asciiTheme="majorHAnsi" w:hAnsiTheme="majorHAnsi" w:cstheme="majorHAnsi"/>
          <w:i w:val="0"/>
          <w:iCs w:val="0"/>
          <w:color w:val="1C6194" w:themeColor="accent2" w:themeShade="BF"/>
          <w:sz w:val="24"/>
          <w:szCs w:val="24"/>
          <w:lang w:val="el-GR"/>
        </w:rPr>
      </w:pPr>
      <w:bookmarkStart w:id="15" w:name="_Ref235450949"/>
      <w:bookmarkStart w:id="16" w:name="_Toc171592517"/>
      <w:bookmarkStart w:id="17" w:name="_Toc235457012"/>
      <w:r w:rsidRPr="00EF74CA">
        <w:rPr>
          <w:rFonts w:asciiTheme="majorHAnsi" w:hAnsiTheme="majorHAnsi" w:cstheme="majorHAnsi"/>
          <w:b/>
          <w:bCs/>
          <w:i w:val="0"/>
          <w:iCs w:val="0"/>
          <w:color w:val="1C6194" w:themeColor="accent2" w:themeShade="BF"/>
          <w:sz w:val="24"/>
          <w:szCs w:val="24"/>
          <w:lang w:val="el-GR"/>
        </w:rPr>
        <w:t xml:space="preserve">Γράφημα </w:t>
      </w:r>
      <w:r w:rsidRPr="00EF74CA">
        <w:rPr>
          <w:rFonts w:asciiTheme="majorHAnsi" w:hAnsiTheme="majorHAnsi" w:cstheme="majorHAnsi"/>
          <w:b/>
          <w:bCs/>
          <w:i w:val="0"/>
          <w:iCs w:val="0"/>
          <w:color w:val="1C6194" w:themeColor="accent2" w:themeShade="BF"/>
          <w:sz w:val="24"/>
          <w:szCs w:val="24"/>
        </w:rPr>
        <w:fldChar w:fldCharType="begin"/>
      </w:r>
      <w:r w:rsidRPr="00EF74CA">
        <w:rPr>
          <w:rFonts w:asciiTheme="majorHAnsi" w:hAnsiTheme="majorHAnsi" w:cstheme="majorHAnsi"/>
          <w:b/>
          <w:bCs/>
          <w:i w:val="0"/>
          <w:iCs w:val="0"/>
          <w:color w:val="1C6194" w:themeColor="accent2" w:themeShade="BF"/>
          <w:sz w:val="24"/>
          <w:szCs w:val="24"/>
          <w:lang w:val="el-GR"/>
        </w:rPr>
        <w:instrText xml:space="preserve"> </w:instrText>
      </w:r>
      <w:r w:rsidRPr="00EF74CA">
        <w:rPr>
          <w:rFonts w:asciiTheme="majorHAnsi" w:hAnsiTheme="majorHAnsi" w:cstheme="majorHAnsi"/>
          <w:b/>
          <w:bCs/>
          <w:i w:val="0"/>
          <w:iCs w:val="0"/>
          <w:color w:val="1C6194" w:themeColor="accent2" w:themeShade="BF"/>
          <w:sz w:val="24"/>
          <w:szCs w:val="24"/>
        </w:rPr>
        <w:instrText>SEQ</w:instrText>
      </w:r>
      <w:r w:rsidRPr="00EF74CA">
        <w:rPr>
          <w:rFonts w:asciiTheme="majorHAnsi" w:hAnsiTheme="majorHAnsi" w:cstheme="majorHAnsi"/>
          <w:b/>
          <w:bCs/>
          <w:i w:val="0"/>
          <w:iCs w:val="0"/>
          <w:color w:val="1C6194" w:themeColor="accent2" w:themeShade="BF"/>
          <w:sz w:val="24"/>
          <w:szCs w:val="24"/>
          <w:lang w:val="el-GR"/>
        </w:rPr>
        <w:instrText xml:space="preserve"> Γράφημα \* </w:instrText>
      </w:r>
      <w:r w:rsidRPr="00EF74CA">
        <w:rPr>
          <w:rFonts w:asciiTheme="majorHAnsi" w:hAnsiTheme="majorHAnsi" w:cstheme="majorHAnsi"/>
          <w:b/>
          <w:bCs/>
          <w:i w:val="0"/>
          <w:iCs w:val="0"/>
          <w:color w:val="1C6194" w:themeColor="accent2" w:themeShade="BF"/>
          <w:sz w:val="24"/>
          <w:szCs w:val="24"/>
        </w:rPr>
        <w:instrText>ARABIC</w:instrText>
      </w:r>
      <w:r w:rsidRPr="00EF74CA">
        <w:rPr>
          <w:rFonts w:asciiTheme="majorHAnsi" w:hAnsiTheme="majorHAnsi" w:cstheme="majorHAnsi"/>
          <w:b/>
          <w:bCs/>
          <w:i w:val="0"/>
          <w:iCs w:val="0"/>
          <w:color w:val="1C6194" w:themeColor="accent2" w:themeShade="BF"/>
          <w:sz w:val="24"/>
          <w:szCs w:val="24"/>
          <w:lang w:val="el-GR"/>
        </w:rPr>
        <w:instrText xml:space="preserve"> </w:instrText>
      </w:r>
      <w:r w:rsidRPr="00EF74CA">
        <w:rPr>
          <w:rFonts w:asciiTheme="majorHAnsi" w:hAnsiTheme="majorHAnsi" w:cstheme="majorHAnsi"/>
          <w:b/>
          <w:bCs/>
          <w:i w:val="0"/>
          <w:iCs w:val="0"/>
          <w:color w:val="1C6194" w:themeColor="accent2" w:themeShade="BF"/>
          <w:sz w:val="24"/>
          <w:szCs w:val="24"/>
        </w:rPr>
        <w:fldChar w:fldCharType="separate"/>
      </w:r>
      <w:r w:rsidRPr="00EF74CA">
        <w:rPr>
          <w:rFonts w:asciiTheme="majorHAnsi" w:hAnsiTheme="majorHAnsi" w:cstheme="majorHAnsi"/>
          <w:b/>
          <w:bCs/>
          <w:i w:val="0"/>
          <w:iCs w:val="0"/>
          <w:noProof/>
          <w:color w:val="1C6194" w:themeColor="accent2" w:themeShade="BF"/>
          <w:sz w:val="24"/>
          <w:szCs w:val="24"/>
          <w:lang w:val="el-GR"/>
        </w:rPr>
        <w:t>2</w:t>
      </w:r>
      <w:r w:rsidRPr="00EF74CA">
        <w:rPr>
          <w:rFonts w:asciiTheme="majorHAnsi" w:hAnsiTheme="majorHAnsi" w:cstheme="majorHAnsi"/>
          <w:b/>
          <w:bCs/>
          <w:i w:val="0"/>
          <w:iCs w:val="0"/>
          <w:color w:val="1C6194" w:themeColor="accent2" w:themeShade="BF"/>
          <w:sz w:val="24"/>
          <w:szCs w:val="24"/>
        </w:rPr>
        <w:fldChar w:fldCharType="end"/>
      </w:r>
      <w:bookmarkEnd w:id="15"/>
      <w:r w:rsidRPr="00EF74CA">
        <w:rPr>
          <w:rFonts w:asciiTheme="majorHAnsi" w:hAnsiTheme="majorHAnsi" w:cstheme="majorHAnsi"/>
          <w:i w:val="0"/>
          <w:iCs w:val="0"/>
          <w:color w:val="1C6194" w:themeColor="accent2" w:themeShade="BF"/>
          <w:sz w:val="24"/>
          <w:szCs w:val="24"/>
          <w:lang w:val="el-GR"/>
        </w:rPr>
        <w:t xml:space="preserve">. </w:t>
      </w:r>
      <w:bookmarkEnd w:id="16"/>
      <w:r w:rsidR="00EF74CA" w:rsidRPr="00EF74CA">
        <w:rPr>
          <w:rFonts w:asciiTheme="majorHAnsi" w:hAnsiTheme="majorHAnsi" w:cstheme="majorHAnsi"/>
          <w:i w:val="0"/>
          <w:iCs w:val="0"/>
          <w:color w:val="1C6194" w:themeColor="accent2" w:themeShade="BF"/>
          <w:sz w:val="24"/>
          <w:szCs w:val="24"/>
          <w:lang w:val="el-GR"/>
        </w:rPr>
        <w:t>Ποσοστό ατόμων με αναπηρία (16+ ετών) και υπερβολική επιβάρυνση στεγαστικού κόστους στην ΕΕ</w:t>
      </w:r>
      <w:r w:rsidR="002910B5" w:rsidRPr="002E31F3">
        <w:rPr>
          <w:rFonts w:asciiTheme="majorHAnsi" w:hAnsiTheme="majorHAnsi" w:cstheme="majorHAnsi"/>
          <w:i w:val="0"/>
          <w:iCs w:val="0"/>
          <w:color w:val="1C6194" w:themeColor="accent2" w:themeShade="BF"/>
          <w:sz w:val="24"/>
          <w:szCs w:val="24"/>
          <w:lang w:val="el-GR"/>
        </w:rPr>
        <w:t>-</w:t>
      </w:r>
      <w:r w:rsidR="00EF74CA" w:rsidRPr="00EF74CA">
        <w:rPr>
          <w:rFonts w:asciiTheme="majorHAnsi" w:hAnsiTheme="majorHAnsi" w:cstheme="majorHAnsi"/>
          <w:i w:val="0"/>
          <w:iCs w:val="0"/>
          <w:color w:val="1C6194" w:themeColor="accent2" w:themeShade="BF"/>
          <w:sz w:val="24"/>
          <w:szCs w:val="24"/>
          <w:lang w:val="el-GR"/>
        </w:rPr>
        <w:t>27</w:t>
      </w:r>
      <w:bookmarkEnd w:id="17"/>
    </w:p>
    <w:p w14:paraId="37DF326B" w14:textId="7BD55B80" w:rsidR="00EF74CA" w:rsidRPr="00EF74CA" w:rsidRDefault="00A27D36" w:rsidP="00EF74CA">
      <w:pPr>
        <w:rPr>
          <w:lang w:val="el-GR"/>
        </w:rPr>
      </w:pPr>
      <w:r w:rsidRPr="002E31F3">
        <w:rPr>
          <w:lang w:val="el-GR"/>
        </w:rPr>
        <w:t xml:space="preserve">  </w:t>
      </w:r>
      <w:r w:rsidR="00EF74CA" w:rsidRPr="00EF74CA">
        <w:rPr>
          <w:noProof/>
          <w:lang w:val="el-GR" w:eastAsia="el-GR"/>
        </w:rPr>
        <w:drawing>
          <wp:inline distT="0" distB="0" distL="0" distR="0" wp14:anchorId="33126B83" wp14:editId="5636A99A">
            <wp:extent cx="5391303" cy="6766560"/>
            <wp:effectExtent l="0" t="0" r="0" b="0"/>
            <wp:docPr id="220921590" name="Γράφημα 1" descr="Κύπρος 2,1%.&#10;Σλοβακία 2,2%.&#10;Ιρλανδία 4%.&#10;Σλοβενία 4,2%.&#10;Φινλανδία 5%.&#10;Πορτογαλία 5,2%.&#10;Ρουμανία 5,2%.&#10;Κροατία 5,3%.&#10;Πολωνία 5,5%.&#10;Ιταλία 5,8%.&#10;Ουγγαρία 5,9%.&#10;Μάλτα 6,1%.&#10;Ολλανδία 6,5%.&#10;Ισπανία 6,7%.&#10;Αυστρία 7,2%.&#10;Βουλγαρία 7,9%.&#10;Λετονία 8%.&#10;Λιθουανία 8%.&#10;Γαλλία 9,2%.&#10;Ευρωπαϊκή Ένωση - 27 χώρες (από το 2020) 9,9%.&#10;Εσθονία 10,1%.&#10;Τσεχία 10,6%.&#10;Βέλγιο 12%.&#10;Γερμανία 14,3%.&#10;Σουηδία 18,3%.&#10;Δανία 31,1%.&#10;Ελλάδα 34,3%.">
              <a:extLst xmlns:a="http://schemas.openxmlformats.org/drawingml/2006/main">
                <a:ext uri="{FF2B5EF4-FFF2-40B4-BE49-F238E27FC236}">
                  <a16:creationId xmlns:a16="http://schemas.microsoft.com/office/drawing/2014/main" id="{13A2473B-5F1E-4D39-9464-34C697AB68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B86958" w14:textId="12450D81" w:rsidR="00EF74CA" w:rsidRPr="002E31F3" w:rsidRDefault="00412692" w:rsidP="00EF74CA">
      <w:pPr>
        <w:pStyle w:val="a5"/>
        <w:jc w:val="center"/>
        <w:rPr>
          <w:rFonts w:asciiTheme="majorHAnsi" w:hAnsiTheme="majorHAnsi" w:cstheme="majorHAnsi"/>
          <w:color w:val="1C6194" w:themeColor="accent2" w:themeShade="BF"/>
          <w:lang w:val="el-GR"/>
        </w:rPr>
      </w:pPr>
      <w:r w:rsidRPr="00EF74CA">
        <w:rPr>
          <w:rFonts w:asciiTheme="majorHAnsi" w:hAnsiTheme="majorHAnsi" w:cstheme="majorHAnsi"/>
          <w:b/>
          <w:bCs/>
          <w:color w:val="1C6194" w:themeColor="accent2" w:themeShade="BF"/>
          <w:lang w:val="el-GR"/>
        </w:rPr>
        <w:t>Πηγή</w:t>
      </w:r>
      <w:r w:rsidRPr="00EF74CA">
        <w:rPr>
          <w:rFonts w:asciiTheme="majorHAnsi" w:hAnsiTheme="majorHAnsi" w:cstheme="majorHAnsi"/>
          <w:color w:val="1C6194" w:themeColor="accent2" w:themeShade="BF"/>
          <w:lang w:val="el-GR"/>
        </w:rPr>
        <w:t xml:space="preserve">: </w:t>
      </w:r>
      <w:bookmarkStart w:id="18" w:name="_Hlk165283041"/>
      <w:r w:rsidR="00EF74CA" w:rsidRPr="00EF74CA">
        <w:rPr>
          <w:rFonts w:asciiTheme="majorHAnsi" w:hAnsiTheme="majorHAnsi" w:cstheme="majorHAnsi"/>
          <w:color w:val="1C6194" w:themeColor="accent2" w:themeShade="BF"/>
          <w:lang w:val="el-GR"/>
        </w:rPr>
        <w:t xml:space="preserve">Στοιχεία </w:t>
      </w:r>
      <w:r w:rsidR="00EF74CA" w:rsidRPr="00EF74CA">
        <w:rPr>
          <w:rFonts w:asciiTheme="majorHAnsi" w:hAnsiTheme="majorHAnsi" w:cstheme="majorHAnsi"/>
          <w:color w:val="1C6194" w:themeColor="accent2" w:themeShade="BF"/>
        </w:rPr>
        <w:t>Eurostat</w:t>
      </w:r>
      <w:r w:rsidR="002910B5" w:rsidRPr="002E31F3">
        <w:rPr>
          <w:rFonts w:asciiTheme="majorHAnsi" w:hAnsiTheme="majorHAnsi" w:cstheme="majorHAnsi"/>
          <w:color w:val="1C6194" w:themeColor="accent2" w:themeShade="BF"/>
          <w:lang w:val="el-GR"/>
        </w:rPr>
        <w:t xml:space="preserve"> </w:t>
      </w:r>
      <w:r w:rsidR="00EF74CA" w:rsidRPr="00EF74CA">
        <w:rPr>
          <w:rFonts w:asciiTheme="majorHAnsi" w:hAnsiTheme="majorHAnsi" w:cstheme="majorHAnsi"/>
          <w:color w:val="1C6194" w:themeColor="accent2" w:themeShade="BF"/>
          <w:lang w:val="el-GR"/>
        </w:rPr>
        <w:t xml:space="preserve">/ </w:t>
      </w:r>
      <w:r w:rsidR="00EF74CA" w:rsidRPr="00EF74CA">
        <w:rPr>
          <w:rFonts w:asciiTheme="majorHAnsi" w:hAnsiTheme="majorHAnsi" w:cstheme="majorHAnsi"/>
          <w:b/>
          <w:bCs/>
          <w:color w:val="1C6194" w:themeColor="accent2" w:themeShade="BF"/>
          <w:lang w:val="el-GR"/>
        </w:rPr>
        <w:t>Επεξεργασία δεδομένων</w:t>
      </w:r>
      <w:r w:rsidR="00EF74CA" w:rsidRPr="00EF74CA">
        <w:rPr>
          <w:rFonts w:asciiTheme="majorHAnsi" w:hAnsiTheme="majorHAnsi" w:cstheme="majorHAnsi"/>
          <w:color w:val="1C6194" w:themeColor="accent2" w:themeShade="BF"/>
          <w:lang w:val="el-GR"/>
        </w:rPr>
        <w:t>: Εθνική Συνομοσπονδία Ατόμων με Αναπηρία</w:t>
      </w:r>
      <w:r w:rsidR="002910B5" w:rsidRPr="002E31F3">
        <w:rPr>
          <w:rFonts w:asciiTheme="majorHAnsi" w:hAnsiTheme="majorHAnsi" w:cstheme="majorHAnsi"/>
          <w:color w:val="1C6194" w:themeColor="accent2" w:themeShade="BF"/>
          <w:lang w:val="el-GR"/>
        </w:rPr>
        <w:t xml:space="preserve"> (</w:t>
      </w:r>
      <w:r w:rsidR="00EF74CA" w:rsidRPr="00EF74CA">
        <w:rPr>
          <w:rFonts w:asciiTheme="majorHAnsi" w:hAnsiTheme="majorHAnsi" w:cstheme="majorHAnsi"/>
          <w:color w:val="1C6194" w:themeColor="accent2" w:themeShade="BF"/>
          <w:lang w:val="el-GR"/>
        </w:rPr>
        <w:t>ΕΣΑμεΑ</w:t>
      </w:r>
      <w:r w:rsidR="002910B5" w:rsidRPr="002E31F3">
        <w:rPr>
          <w:rFonts w:asciiTheme="majorHAnsi" w:hAnsiTheme="majorHAnsi" w:cstheme="majorHAnsi"/>
          <w:color w:val="1C6194" w:themeColor="accent2" w:themeShade="BF"/>
          <w:lang w:val="el-GR"/>
        </w:rPr>
        <w:t>)</w:t>
      </w:r>
    </w:p>
    <w:p w14:paraId="75E6A24A" w14:textId="7CBD7048" w:rsidR="00EF74CA" w:rsidRPr="002E31F3" w:rsidRDefault="00EF74CA" w:rsidP="00EF74CA">
      <w:pPr>
        <w:jc w:val="both"/>
        <w:rPr>
          <w:rFonts w:ascii="Constantia" w:hAnsi="Constantia"/>
          <w:sz w:val="24"/>
          <w:szCs w:val="24"/>
          <w:lang w:val="el-GR"/>
        </w:rPr>
      </w:pPr>
      <w:r w:rsidRPr="00EA39EF">
        <w:rPr>
          <w:rFonts w:ascii="Constantia" w:hAnsi="Constantia"/>
          <w:sz w:val="24"/>
          <w:szCs w:val="24"/>
          <w:lang w:val="el-GR"/>
        </w:rPr>
        <w:t xml:space="preserve">Ένα πρώτο συμπέρασμα που προκύπτει </w:t>
      </w:r>
      <w:r>
        <w:rPr>
          <w:rFonts w:ascii="Constantia" w:hAnsi="Constantia"/>
          <w:sz w:val="24"/>
          <w:szCs w:val="24"/>
          <w:lang w:val="el-GR"/>
        </w:rPr>
        <w:t xml:space="preserve">δηλαδή </w:t>
      </w:r>
      <w:r w:rsidRPr="00EA39EF">
        <w:rPr>
          <w:rFonts w:ascii="Constantia" w:hAnsi="Constantia"/>
          <w:sz w:val="24"/>
          <w:szCs w:val="24"/>
          <w:lang w:val="el-GR"/>
        </w:rPr>
        <w:t xml:space="preserve">είναι ότι το ζήτημα της στεγαστικής επιβάρυνσης είναι πολυπαραγοντικό και </w:t>
      </w:r>
      <w:r>
        <w:rPr>
          <w:rFonts w:ascii="Constantia" w:hAnsi="Constantia"/>
          <w:sz w:val="24"/>
          <w:szCs w:val="24"/>
          <w:lang w:val="el-GR"/>
        </w:rPr>
        <w:t xml:space="preserve">ως εκ τούτου </w:t>
      </w:r>
      <w:r w:rsidRPr="00EA39EF">
        <w:rPr>
          <w:rFonts w:ascii="Constantia" w:hAnsi="Constantia"/>
          <w:sz w:val="24"/>
          <w:szCs w:val="24"/>
          <w:lang w:val="el-GR"/>
        </w:rPr>
        <w:t xml:space="preserve">δεν </w:t>
      </w:r>
      <w:r>
        <w:rPr>
          <w:rFonts w:ascii="Constantia" w:hAnsi="Constantia"/>
          <w:sz w:val="24"/>
          <w:szCs w:val="24"/>
          <w:lang w:val="el-GR"/>
        </w:rPr>
        <w:t>μπορεί να περιγράφει</w:t>
      </w:r>
      <w:r w:rsidRPr="00EA39EF">
        <w:rPr>
          <w:rFonts w:ascii="Constantia" w:hAnsi="Constantia"/>
          <w:sz w:val="24"/>
          <w:szCs w:val="24"/>
          <w:lang w:val="el-GR"/>
        </w:rPr>
        <w:t xml:space="preserve"> με ένα σαφές γεωγραφικό πρότυπο.</w:t>
      </w:r>
    </w:p>
    <w:p w14:paraId="2BECE732" w14:textId="3DD59EE7" w:rsidR="00EF74CA" w:rsidRPr="002E31F3" w:rsidRDefault="00EF74CA" w:rsidP="00EF74CA">
      <w:pPr>
        <w:jc w:val="both"/>
        <w:rPr>
          <w:rFonts w:ascii="Constantia" w:hAnsi="Constantia"/>
          <w:sz w:val="24"/>
          <w:szCs w:val="24"/>
          <w:lang w:val="el-GR"/>
        </w:rPr>
      </w:pPr>
      <w:r w:rsidRPr="00EA39EF">
        <w:rPr>
          <w:rFonts w:ascii="Constantia" w:hAnsi="Constantia"/>
          <w:sz w:val="24"/>
          <w:szCs w:val="24"/>
          <w:lang w:val="el-GR"/>
        </w:rPr>
        <w:t xml:space="preserve">Η τιμή του δείκτη ενδέχεται να </w:t>
      </w:r>
      <w:r>
        <w:rPr>
          <w:rFonts w:ascii="Constantia" w:hAnsi="Constantia"/>
          <w:sz w:val="24"/>
          <w:szCs w:val="24"/>
          <w:lang w:val="el-GR"/>
        </w:rPr>
        <w:t xml:space="preserve">χρήζει </w:t>
      </w:r>
      <w:r w:rsidRPr="00EA39EF">
        <w:rPr>
          <w:rFonts w:ascii="Constantia" w:hAnsi="Constantia"/>
          <w:sz w:val="24"/>
          <w:szCs w:val="24"/>
          <w:lang w:val="el-GR"/>
        </w:rPr>
        <w:t>διαφορετική</w:t>
      </w:r>
      <w:r>
        <w:rPr>
          <w:rFonts w:ascii="Constantia" w:hAnsi="Constantia"/>
          <w:sz w:val="24"/>
          <w:szCs w:val="24"/>
          <w:lang w:val="el-GR"/>
        </w:rPr>
        <w:t>ς</w:t>
      </w:r>
      <w:r w:rsidRPr="00EA39EF">
        <w:rPr>
          <w:rFonts w:ascii="Constantia" w:hAnsi="Constantia"/>
          <w:sz w:val="24"/>
          <w:szCs w:val="24"/>
          <w:lang w:val="el-GR"/>
        </w:rPr>
        <w:t xml:space="preserve"> ερμηνεία</w:t>
      </w:r>
      <w:r>
        <w:rPr>
          <w:rFonts w:ascii="Constantia" w:hAnsi="Constantia"/>
          <w:sz w:val="24"/>
          <w:szCs w:val="24"/>
          <w:lang w:val="el-GR"/>
        </w:rPr>
        <w:t>ς</w:t>
      </w:r>
      <w:r w:rsidRPr="00EA39EF">
        <w:rPr>
          <w:rFonts w:ascii="Constantia" w:hAnsi="Constantia"/>
          <w:sz w:val="24"/>
          <w:szCs w:val="24"/>
          <w:lang w:val="el-GR"/>
        </w:rPr>
        <w:t xml:space="preserve"> σε κάθε χώρα</w:t>
      </w:r>
      <w:r>
        <w:rPr>
          <w:rFonts w:ascii="Constantia" w:hAnsi="Constantia"/>
          <w:sz w:val="24"/>
          <w:szCs w:val="24"/>
          <w:lang w:val="el-GR"/>
        </w:rPr>
        <w:t xml:space="preserve">, ανάλογα και </w:t>
      </w:r>
      <w:r w:rsidRPr="00EA39EF">
        <w:rPr>
          <w:rFonts w:ascii="Constantia" w:hAnsi="Constantia"/>
          <w:sz w:val="24"/>
          <w:szCs w:val="24"/>
          <w:lang w:val="el-GR"/>
        </w:rPr>
        <w:t xml:space="preserve">με τα ιδιαίτερα χαρακτηριστικά της αγοράς στέγης, την ποιότητα και </w:t>
      </w:r>
      <w:r>
        <w:rPr>
          <w:rFonts w:ascii="Constantia" w:hAnsi="Constantia"/>
          <w:sz w:val="24"/>
          <w:szCs w:val="24"/>
          <w:lang w:val="el-GR"/>
        </w:rPr>
        <w:t xml:space="preserve">την </w:t>
      </w:r>
      <w:r w:rsidRPr="00EA39EF">
        <w:rPr>
          <w:rFonts w:ascii="Constantia" w:hAnsi="Constantia"/>
          <w:sz w:val="24"/>
          <w:szCs w:val="24"/>
          <w:lang w:val="el-GR"/>
        </w:rPr>
        <w:t xml:space="preserve">προσβασιμότητα των διαθέσιμων κατοικιών, το </w:t>
      </w:r>
      <w:r>
        <w:rPr>
          <w:rFonts w:ascii="Constantia" w:hAnsi="Constantia"/>
          <w:sz w:val="24"/>
          <w:szCs w:val="24"/>
          <w:lang w:val="el-GR"/>
        </w:rPr>
        <w:t xml:space="preserve">εθνικό </w:t>
      </w:r>
      <w:r w:rsidRPr="00EA39EF">
        <w:rPr>
          <w:rFonts w:ascii="Constantia" w:hAnsi="Constantia"/>
          <w:sz w:val="24"/>
          <w:szCs w:val="24"/>
          <w:lang w:val="el-GR"/>
        </w:rPr>
        <w:t>επίπεδο των εισοδημάτων</w:t>
      </w:r>
      <w:r>
        <w:rPr>
          <w:rFonts w:ascii="Constantia" w:hAnsi="Constantia"/>
          <w:sz w:val="24"/>
          <w:szCs w:val="24"/>
          <w:lang w:val="el-GR"/>
        </w:rPr>
        <w:t xml:space="preserve">, </w:t>
      </w:r>
      <w:r w:rsidRPr="00EA39EF">
        <w:rPr>
          <w:rFonts w:ascii="Constantia" w:hAnsi="Constantia"/>
          <w:sz w:val="24"/>
          <w:szCs w:val="24"/>
          <w:lang w:val="el-GR"/>
        </w:rPr>
        <w:t>αλλά και την αποτελεσματικότητα των κοινωνικών πολιτικών</w:t>
      </w:r>
      <w:r>
        <w:rPr>
          <w:rFonts w:ascii="Constantia" w:hAnsi="Constantia"/>
          <w:sz w:val="24"/>
          <w:szCs w:val="24"/>
          <w:lang w:val="el-GR"/>
        </w:rPr>
        <w:t xml:space="preserve"> και των πολιτικών κοινωνικής στέγασης.</w:t>
      </w:r>
    </w:p>
    <w:p w14:paraId="434E1048" w14:textId="3AD055BD" w:rsidR="00575B7E" w:rsidRPr="002E31F3" w:rsidRDefault="00575B7E" w:rsidP="00575B7E">
      <w:pPr>
        <w:jc w:val="both"/>
        <w:rPr>
          <w:rFonts w:ascii="Constantia" w:hAnsi="Constantia"/>
          <w:sz w:val="24"/>
          <w:szCs w:val="24"/>
          <w:lang w:val="el-GR"/>
        </w:rPr>
      </w:pPr>
      <w:r w:rsidRPr="00EA39EF">
        <w:rPr>
          <w:rFonts w:ascii="Constantia" w:hAnsi="Constantia"/>
          <w:sz w:val="24"/>
          <w:szCs w:val="24"/>
          <w:lang w:val="el-GR"/>
        </w:rPr>
        <w:t xml:space="preserve">Γεγονός </w:t>
      </w:r>
      <w:r>
        <w:rPr>
          <w:rFonts w:ascii="Constantia" w:hAnsi="Constantia"/>
          <w:sz w:val="24"/>
          <w:szCs w:val="24"/>
          <w:lang w:val="el-GR"/>
        </w:rPr>
        <w:t xml:space="preserve">ωστόσο είναι </w:t>
      </w:r>
      <w:r w:rsidRPr="00EA39EF">
        <w:rPr>
          <w:rFonts w:ascii="Constantia" w:hAnsi="Constantia"/>
          <w:sz w:val="24"/>
          <w:szCs w:val="24"/>
          <w:lang w:val="el-GR"/>
        </w:rPr>
        <w:t>ότι, η υψηλή στεγαστική επιβάρυνση αποτελεί διαρθρωτικό χαρακτηριστικό της ελληνικής αγοράς κατοικίας</w:t>
      </w:r>
      <w:r>
        <w:rPr>
          <w:rFonts w:ascii="Constantia" w:hAnsi="Constantia"/>
          <w:sz w:val="24"/>
          <w:szCs w:val="24"/>
          <w:lang w:val="el-GR"/>
        </w:rPr>
        <w:t xml:space="preserve">, </w:t>
      </w:r>
      <w:r w:rsidRPr="00EA39EF">
        <w:rPr>
          <w:rFonts w:ascii="Constantia" w:hAnsi="Constantia"/>
          <w:sz w:val="24"/>
          <w:szCs w:val="24"/>
          <w:lang w:val="el-GR"/>
        </w:rPr>
        <w:t xml:space="preserve">με την </w:t>
      </w:r>
      <w:r w:rsidRPr="00575B7E">
        <w:rPr>
          <w:rFonts w:ascii="Constantia" w:hAnsi="Constantia"/>
          <w:sz w:val="24"/>
          <w:szCs w:val="24"/>
          <w:lang w:val="el-GR"/>
        </w:rPr>
        <w:t xml:space="preserve">Ελλάδα να κατέχει τη χειρότερη θέση στον δείκτη ποσοστό ατόμων με υπερβολική επιβάρυνση από το κόστος στέγασης, ανεξάρτητα από την διάσταση της αναπηρίας, </w:t>
      </w:r>
      <w:r w:rsidRPr="00EA39EF">
        <w:rPr>
          <w:rFonts w:ascii="Constantia" w:hAnsi="Constantia"/>
          <w:sz w:val="24"/>
          <w:szCs w:val="24"/>
          <w:lang w:val="el-GR"/>
        </w:rPr>
        <w:t xml:space="preserve">απέχοντας σημαντικά από το μέσο ευρωπαϊκό επίπεδο. </w:t>
      </w:r>
      <w:r>
        <w:rPr>
          <w:rFonts w:ascii="Constantia" w:hAnsi="Constantia"/>
          <w:sz w:val="24"/>
          <w:szCs w:val="24"/>
          <w:lang w:val="el-GR"/>
        </w:rPr>
        <w:t xml:space="preserve">Σε αυτή τη συνθήκη, τα άτομα με αναπηρία επηρεάζονται δυσανάλογα καθώς, </w:t>
      </w:r>
      <w:r w:rsidRPr="005C424F">
        <w:rPr>
          <w:rFonts w:ascii="Constantia" w:hAnsi="Constantia"/>
          <w:sz w:val="24"/>
          <w:szCs w:val="24"/>
          <w:lang w:val="el-GR"/>
        </w:rPr>
        <w:t>αντιμετωπίζουν συχνά χαμηλότερα επίπεδα εισοδήματος</w:t>
      </w:r>
      <w:r>
        <w:rPr>
          <w:rFonts w:ascii="Constantia" w:hAnsi="Constantia"/>
          <w:sz w:val="24"/>
          <w:szCs w:val="24"/>
          <w:lang w:val="el-GR"/>
        </w:rPr>
        <w:t xml:space="preserve"> αλλά και </w:t>
      </w:r>
      <w:r w:rsidRPr="005C424F">
        <w:rPr>
          <w:rFonts w:ascii="Constantia" w:hAnsi="Constantia"/>
          <w:sz w:val="24"/>
          <w:szCs w:val="24"/>
          <w:lang w:val="el-GR"/>
        </w:rPr>
        <w:t>αυξημέν</w:t>
      </w:r>
      <w:r>
        <w:rPr>
          <w:rFonts w:ascii="Constantia" w:hAnsi="Constantia"/>
          <w:sz w:val="24"/>
          <w:szCs w:val="24"/>
          <w:lang w:val="el-GR"/>
        </w:rPr>
        <w:t>ο κόστος διαβίωσης λόγω της αναπηρίας.</w:t>
      </w:r>
    </w:p>
    <w:p w14:paraId="16B33B0D" w14:textId="3A554C98" w:rsidR="00575B7E" w:rsidRPr="000E37EE" w:rsidRDefault="00575B7E" w:rsidP="00B45D0B">
      <w:pPr>
        <w:pStyle w:val="2"/>
        <w:spacing w:before="360" w:after="240"/>
        <w:ind w:left="578" w:right="-142" w:hanging="578"/>
        <w:jc w:val="left"/>
        <w:rPr>
          <w:sz w:val="26"/>
          <w:szCs w:val="26"/>
        </w:rPr>
      </w:pPr>
      <w:bookmarkStart w:id="19" w:name="_Toc235457007"/>
      <w:r w:rsidRPr="000E37EE">
        <w:rPr>
          <w:sz w:val="26"/>
          <w:szCs w:val="26"/>
        </w:rPr>
        <w:t>Δυσκολίες &amp; καθυστερήσεις στην πληρωμή των στεγαστικών δαπανών</w:t>
      </w:r>
      <w:bookmarkEnd w:id="19"/>
    </w:p>
    <w:p w14:paraId="31977BC6" w14:textId="75683171" w:rsidR="00575B7E" w:rsidRPr="002E31F3" w:rsidRDefault="00575B7E" w:rsidP="00575B7E">
      <w:pPr>
        <w:spacing w:line="276" w:lineRule="auto"/>
        <w:jc w:val="both"/>
        <w:rPr>
          <w:rFonts w:ascii="Constantia" w:eastAsia="Constantia" w:hAnsi="Constantia" w:cs="Constantia"/>
          <w:sz w:val="24"/>
          <w:szCs w:val="24"/>
          <w:lang w:val="el-GR"/>
        </w:rPr>
      </w:pPr>
      <w:r w:rsidRPr="00575B7E">
        <w:rPr>
          <w:rFonts w:ascii="Constantia" w:eastAsia="Constantia" w:hAnsi="Constantia" w:cs="Constantia"/>
          <w:sz w:val="24"/>
          <w:szCs w:val="24"/>
          <w:lang w:val="el-GR"/>
        </w:rPr>
        <w:t>Το βάρος των στεγαστικών δαπανών σε σχέση με το εισόδημα (</w:t>
      </w:r>
      <w:r w:rsidRPr="00575B7E">
        <w:rPr>
          <w:rFonts w:ascii="Constantia" w:eastAsia="Constantia" w:hAnsi="Constantia" w:cs="Constantia"/>
          <w:sz w:val="24"/>
          <w:szCs w:val="24"/>
        </w:rPr>
        <w:t>housing</w:t>
      </w:r>
      <w:r w:rsidRPr="00575B7E">
        <w:rPr>
          <w:rFonts w:ascii="Constantia" w:eastAsia="Constantia" w:hAnsi="Constantia" w:cs="Constantia"/>
          <w:sz w:val="24"/>
          <w:szCs w:val="24"/>
          <w:lang w:val="el-GR"/>
        </w:rPr>
        <w:t xml:space="preserve"> </w:t>
      </w:r>
      <w:r w:rsidRPr="00575B7E">
        <w:rPr>
          <w:rFonts w:ascii="Constantia" w:eastAsia="Constantia" w:hAnsi="Constantia" w:cs="Constantia"/>
          <w:sz w:val="24"/>
          <w:szCs w:val="24"/>
        </w:rPr>
        <w:t>cost</w:t>
      </w:r>
      <w:r w:rsidRPr="00575B7E">
        <w:rPr>
          <w:rFonts w:ascii="Constantia" w:eastAsia="Constantia" w:hAnsi="Constantia" w:cs="Constantia"/>
          <w:sz w:val="24"/>
          <w:szCs w:val="24"/>
          <w:lang w:val="el-GR"/>
        </w:rPr>
        <w:t xml:space="preserve"> </w:t>
      </w:r>
      <w:r w:rsidRPr="00575B7E">
        <w:rPr>
          <w:rFonts w:ascii="Constantia" w:eastAsia="Constantia" w:hAnsi="Constantia" w:cs="Constantia"/>
          <w:sz w:val="24"/>
          <w:szCs w:val="24"/>
        </w:rPr>
        <w:t>overburden</w:t>
      </w:r>
      <w:r w:rsidR="001274E9">
        <w:rPr>
          <w:rFonts w:ascii="Constantia" w:eastAsia="Constantia" w:hAnsi="Constantia" w:cs="Constantia"/>
          <w:sz w:val="24"/>
          <w:szCs w:val="24"/>
          <w:lang w:val="el-GR"/>
        </w:rPr>
        <w:t xml:space="preserve"> </w:t>
      </w:r>
      <w:r w:rsidR="001274E9">
        <w:rPr>
          <w:rFonts w:ascii="Constantia" w:eastAsia="Constantia" w:hAnsi="Constantia" w:cs="Constantia"/>
          <w:sz w:val="24"/>
          <w:szCs w:val="24"/>
        </w:rPr>
        <w:t>rate</w:t>
      </w:r>
      <w:r w:rsidRPr="00575B7E">
        <w:rPr>
          <w:rFonts w:ascii="Constantia" w:eastAsia="Constantia" w:hAnsi="Constantia" w:cs="Constantia"/>
          <w:sz w:val="24"/>
          <w:szCs w:val="24"/>
          <w:lang w:val="el-GR"/>
        </w:rPr>
        <w:t>), δεν επαρκεί για να περιγράψει τις πραγματικές οικονομικές δυσκολίες των νοικοκυριών ως προς την κάλυψη των στεγαστικών αναγκών τους. Το “</w:t>
      </w:r>
      <w:r w:rsidRPr="00575B7E">
        <w:rPr>
          <w:rFonts w:ascii="Constantia" w:eastAsia="Constantia" w:hAnsi="Constantia" w:cs="Constantia"/>
          <w:sz w:val="24"/>
          <w:szCs w:val="24"/>
        </w:rPr>
        <w:t>housing</w:t>
      </w:r>
      <w:r w:rsidRPr="00575B7E">
        <w:rPr>
          <w:rFonts w:ascii="Constantia" w:eastAsia="Constantia" w:hAnsi="Constantia" w:cs="Constantia"/>
          <w:sz w:val="24"/>
          <w:szCs w:val="24"/>
          <w:lang w:val="el-GR"/>
        </w:rPr>
        <w:t xml:space="preserve"> </w:t>
      </w:r>
      <w:r w:rsidRPr="00575B7E">
        <w:rPr>
          <w:rFonts w:ascii="Constantia" w:eastAsia="Constantia" w:hAnsi="Constantia" w:cs="Constantia"/>
          <w:sz w:val="24"/>
          <w:szCs w:val="24"/>
        </w:rPr>
        <w:t>cost</w:t>
      </w:r>
      <w:r w:rsidRPr="00575B7E">
        <w:rPr>
          <w:rFonts w:ascii="Constantia" w:eastAsia="Constantia" w:hAnsi="Constantia" w:cs="Constantia"/>
          <w:sz w:val="24"/>
          <w:szCs w:val="24"/>
          <w:lang w:val="el-GR"/>
        </w:rPr>
        <w:t xml:space="preserve"> </w:t>
      </w:r>
      <w:r w:rsidRPr="00575B7E">
        <w:rPr>
          <w:rFonts w:ascii="Constantia" w:eastAsia="Constantia" w:hAnsi="Constantia" w:cs="Constantia"/>
          <w:sz w:val="24"/>
          <w:szCs w:val="24"/>
        </w:rPr>
        <w:t>overburden</w:t>
      </w:r>
      <w:r w:rsidRPr="00575B7E">
        <w:rPr>
          <w:rFonts w:ascii="Constantia" w:eastAsia="Constantia" w:hAnsi="Constantia" w:cs="Constantia"/>
          <w:sz w:val="24"/>
          <w:szCs w:val="24"/>
          <w:lang w:val="el-GR"/>
        </w:rPr>
        <w:t>”, παρότι αποτελεί ισχυρή ένδειξη της οικονομικής επιβάρυνσης των νοικοκυριών, δεν αποτυπώνει την πραγματική δυνατότητά τους να ανταπεξέλθουν στο κόστος στέγασης, αποτέλεσμα που εξαρτάται από το συνολικό κόστος ζωής, αλλά και το επίπεδο των δημόσιων παροχών.</w:t>
      </w:r>
    </w:p>
    <w:p w14:paraId="74805AD6" w14:textId="393DAE2B" w:rsidR="001274E9" w:rsidRPr="002E31F3" w:rsidRDefault="001274E9" w:rsidP="001274E9">
      <w:pPr>
        <w:spacing w:line="276" w:lineRule="auto"/>
        <w:jc w:val="both"/>
        <w:rPr>
          <w:rFonts w:ascii="Constantia" w:eastAsia="Constantia" w:hAnsi="Constantia" w:cs="Constantia"/>
          <w:sz w:val="24"/>
          <w:szCs w:val="24"/>
          <w:lang w:val="el-GR"/>
        </w:rPr>
      </w:pPr>
      <w:r w:rsidRPr="00C25EFB">
        <w:rPr>
          <w:rFonts w:ascii="Constantia" w:eastAsia="Constantia" w:hAnsi="Constantia" w:cs="Constantia"/>
          <w:sz w:val="24"/>
          <w:szCs w:val="24"/>
          <w:lang w:val="el-GR"/>
        </w:rPr>
        <w:t>Στην παρούσα ενότητα επικεντρωνόμαστε σε δύο δείκτες που μετράνε το ποσοστό του πληθυσμού το οποίο καθυστέρησε να πληρώσει έγκαιρα τα πάγια στεγαστικά έξοδα, για τους οποίους διαθέτουμε δεδομένα σε εθνικό επίπεδο</w:t>
      </w:r>
      <w:r>
        <w:rPr>
          <w:rFonts w:ascii="Constantia" w:eastAsia="Constantia" w:hAnsi="Constantia" w:cs="Constantia"/>
          <w:sz w:val="24"/>
          <w:szCs w:val="24"/>
          <w:lang w:val="el-GR"/>
        </w:rPr>
        <w:t xml:space="preserve"> από την ΕΛΣΤΑΤ</w:t>
      </w:r>
      <w:r w:rsidRPr="00C25EFB">
        <w:rPr>
          <w:rFonts w:ascii="Constantia" w:eastAsia="Constantia" w:hAnsi="Constantia" w:cs="Constantia"/>
          <w:sz w:val="24"/>
          <w:szCs w:val="24"/>
          <w:lang w:val="el-GR"/>
        </w:rPr>
        <w:t>.</w:t>
      </w:r>
    </w:p>
    <w:p w14:paraId="7B29BB40" w14:textId="674334A3" w:rsidR="00F738CE" w:rsidRDefault="001274E9" w:rsidP="001274E9">
      <w:pPr>
        <w:spacing w:line="276" w:lineRule="auto"/>
        <w:jc w:val="both"/>
        <w:rPr>
          <w:rFonts w:ascii="Constantia" w:eastAsia="Constantia" w:hAnsi="Constantia" w:cs="Constantia"/>
          <w:sz w:val="24"/>
          <w:szCs w:val="24"/>
          <w:lang w:val="el-GR"/>
        </w:rPr>
      </w:pPr>
      <w:r w:rsidRPr="00C25EFB">
        <w:rPr>
          <w:rFonts w:ascii="Constantia" w:eastAsia="Constantia" w:hAnsi="Constantia" w:cs="Constantia"/>
          <w:sz w:val="24"/>
          <w:szCs w:val="24"/>
          <w:lang w:val="el-GR"/>
        </w:rPr>
        <w:t xml:space="preserve">Στο </w:t>
      </w:r>
      <w:r w:rsidRPr="001274E9">
        <w:rPr>
          <w:rFonts w:ascii="Constantia" w:eastAsia="Constantia" w:hAnsi="Constantia" w:cs="Constantia"/>
          <w:sz w:val="24"/>
          <w:szCs w:val="24"/>
          <w:lang w:val="el-GR"/>
        </w:rPr>
        <w:t>γράφημα 3</w:t>
      </w:r>
      <w:r w:rsidRPr="00C25EFB">
        <w:rPr>
          <w:rFonts w:ascii="Constantia" w:eastAsia="Constantia" w:hAnsi="Constantia" w:cs="Constantia"/>
          <w:sz w:val="24"/>
          <w:szCs w:val="24"/>
          <w:lang w:val="el-GR"/>
        </w:rPr>
        <w:t xml:space="preserve"> παρουσιάζεται για τα έτη 2021 και 2025</w:t>
      </w:r>
      <w:r>
        <w:rPr>
          <w:rFonts w:ascii="Constantia" w:eastAsia="Constantia" w:hAnsi="Constantia" w:cs="Constantia"/>
          <w:sz w:val="24"/>
          <w:szCs w:val="24"/>
          <w:lang w:val="el-GR"/>
        </w:rPr>
        <w:t xml:space="preserve">, </w:t>
      </w:r>
      <w:r w:rsidRPr="00C25EFB">
        <w:rPr>
          <w:rFonts w:ascii="Constantia" w:eastAsia="Constantia" w:hAnsi="Constantia" w:cs="Constantia"/>
          <w:sz w:val="24"/>
          <w:szCs w:val="24"/>
          <w:lang w:val="el-GR"/>
        </w:rPr>
        <w:t xml:space="preserve">το ποσοστό των ατόμων με αναπηρία που καθυστέρησαν (έστω και για έναν μήνα στο διάστημα των τελευταίων 12 μηνών) να πληρώσουν το ενοίκιο ή τη δόση του στεγαστικού δανείου της κύριας κατοικίας </w:t>
      </w:r>
      <w:r>
        <w:rPr>
          <w:rFonts w:ascii="Constantia" w:eastAsia="Constantia" w:hAnsi="Constantia" w:cs="Constantia"/>
          <w:sz w:val="24"/>
          <w:szCs w:val="24"/>
          <w:lang w:val="el-GR"/>
        </w:rPr>
        <w:t>τους,</w:t>
      </w:r>
      <w:r w:rsidRPr="00C25EFB">
        <w:rPr>
          <w:rFonts w:ascii="Constantia" w:eastAsia="Constantia" w:hAnsi="Constantia" w:cs="Constantia"/>
          <w:sz w:val="24"/>
          <w:szCs w:val="24"/>
          <w:lang w:val="el-GR"/>
        </w:rPr>
        <w:t xml:space="preserve"> λόγω οικονομικής δυσκολίας</w:t>
      </w:r>
      <w:r>
        <w:rPr>
          <w:rFonts w:ascii="Constantia" w:eastAsia="Constantia" w:hAnsi="Constantia" w:cs="Constantia"/>
          <w:sz w:val="24"/>
          <w:szCs w:val="24"/>
          <w:lang w:val="el-GR"/>
        </w:rPr>
        <w:t>.</w:t>
      </w:r>
    </w:p>
    <w:p w14:paraId="18474D99" w14:textId="77777777" w:rsidR="00F738CE" w:rsidRDefault="00F738CE">
      <w:pPr>
        <w:spacing w:after="0" w:line="240" w:lineRule="auto"/>
        <w:rPr>
          <w:rFonts w:ascii="Constantia" w:eastAsia="Constantia" w:hAnsi="Constantia" w:cs="Constantia"/>
          <w:sz w:val="24"/>
          <w:szCs w:val="24"/>
          <w:lang w:val="el-GR"/>
        </w:rPr>
      </w:pPr>
      <w:r>
        <w:rPr>
          <w:rFonts w:ascii="Constantia" w:eastAsia="Constantia" w:hAnsi="Constantia" w:cs="Constantia"/>
          <w:sz w:val="24"/>
          <w:szCs w:val="24"/>
          <w:lang w:val="el-GR"/>
        </w:rPr>
        <w:br w:type="page"/>
      </w:r>
    </w:p>
    <w:p w14:paraId="633C64FD" w14:textId="6D33B210" w:rsidR="00412692" w:rsidRPr="001274E9" w:rsidRDefault="00412692" w:rsidP="00CD4E02">
      <w:pPr>
        <w:pStyle w:val="a5"/>
        <w:spacing w:before="240" w:after="0"/>
        <w:ind w:left="567" w:right="566"/>
        <w:jc w:val="center"/>
        <w:rPr>
          <w:rFonts w:asciiTheme="majorHAnsi" w:hAnsiTheme="majorHAnsi" w:cstheme="majorHAnsi"/>
          <w:i w:val="0"/>
          <w:iCs w:val="0"/>
          <w:color w:val="1C6194" w:themeColor="accent2" w:themeShade="BF"/>
          <w:sz w:val="24"/>
          <w:szCs w:val="24"/>
          <w:lang w:val="el-GR"/>
        </w:rPr>
      </w:pPr>
      <w:bookmarkStart w:id="20" w:name="_Toc171592518"/>
      <w:bookmarkStart w:id="21" w:name="_Toc235457013"/>
      <w:bookmarkEnd w:id="18"/>
      <w:r w:rsidRPr="001274E9">
        <w:rPr>
          <w:rFonts w:asciiTheme="majorHAnsi" w:hAnsiTheme="majorHAnsi" w:cstheme="majorHAnsi"/>
          <w:b/>
          <w:bCs/>
          <w:i w:val="0"/>
          <w:iCs w:val="0"/>
          <w:color w:val="1C6194" w:themeColor="accent2" w:themeShade="BF"/>
          <w:sz w:val="24"/>
          <w:szCs w:val="24"/>
          <w:lang w:val="el-GR"/>
        </w:rPr>
        <w:t xml:space="preserve">Γράφημα </w:t>
      </w:r>
      <w:r w:rsidRPr="001274E9">
        <w:rPr>
          <w:rFonts w:asciiTheme="majorHAnsi" w:hAnsiTheme="majorHAnsi" w:cstheme="majorHAnsi"/>
          <w:b/>
          <w:bCs/>
          <w:i w:val="0"/>
          <w:iCs w:val="0"/>
          <w:color w:val="1C6194" w:themeColor="accent2" w:themeShade="BF"/>
          <w:sz w:val="24"/>
          <w:szCs w:val="24"/>
        </w:rPr>
        <w:fldChar w:fldCharType="begin"/>
      </w:r>
      <w:r w:rsidRPr="001274E9">
        <w:rPr>
          <w:rFonts w:asciiTheme="majorHAnsi" w:hAnsiTheme="majorHAnsi" w:cstheme="majorHAnsi"/>
          <w:b/>
          <w:bCs/>
          <w:i w:val="0"/>
          <w:iCs w:val="0"/>
          <w:color w:val="1C6194" w:themeColor="accent2" w:themeShade="BF"/>
          <w:sz w:val="24"/>
          <w:szCs w:val="24"/>
          <w:lang w:val="el-GR"/>
        </w:rPr>
        <w:instrText xml:space="preserve"> </w:instrText>
      </w:r>
      <w:r w:rsidRPr="001274E9">
        <w:rPr>
          <w:rFonts w:asciiTheme="majorHAnsi" w:hAnsiTheme="majorHAnsi" w:cstheme="majorHAnsi"/>
          <w:b/>
          <w:bCs/>
          <w:i w:val="0"/>
          <w:iCs w:val="0"/>
          <w:color w:val="1C6194" w:themeColor="accent2" w:themeShade="BF"/>
          <w:sz w:val="24"/>
          <w:szCs w:val="24"/>
        </w:rPr>
        <w:instrText>SEQ</w:instrText>
      </w:r>
      <w:r w:rsidRPr="001274E9">
        <w:rPr>
          <w:rFonts w:asciiTheme="majorHAnsi" w:hAnsiTheme="majorHAnsi" w:cstheme="majorHAnsi"/>
          <w:b/>
          <w:bCs/>
          <w:i w:val="0"/>
          <w:iCs w:val="0"/>
          <w:color w:val="1C6194" w:themeColor="accent2" w:themeShade="BF"/>
          <w:sz w:val="24"/>
          <w:szCs w:val="24"/>
          <w:lang w:val="el-GR"/>
        </w:rPr>
        <w:instrText xml:space="preserve"> Γράφημα \* </w:instrText>
      </w:r>
      <w:r w:rsidRPr="001274E9">
        <w:rPr>
          <w:rFonts w:asciiTheme="majorHAnsi" w:hAnsiTheme="majorHAnsi" w:cstheme="majorHAnsi"/>
          <w:b/>
          <w:bCs/>
          <w:i w:val="0"/>
          <w:iCs w:val="0"/>
          <w:color w:val="1C6194" w:themeColor="accent2" w:themeShade="BF"/>
          <w:sz w:val="24"/>
          <w:szCs w:val="24"/>
        </w:rPr>
        <w:instrText>ARABIC</w:instrText>
      </w:r>
      <w:r w:rsidRPr="001274E9">
        <w:rPr>
          <w:rFonts w:asciiTheme="majorHAnsi" w:hAnsiTheme="majorHAnsi" w:cstheme="majorHAnsi"/>
          <w:b/>
          <w:bCs/>
          <w:i w:val="0"/>
          <w:iCs w:val="0"/>
          <w:color w:val="1C6194" w:themeColor="accent2" w:themeShade="BF"/>
          <w:sz w:val="24"/>
          <w:szCs w:val="24"/>
          <w:lang w:val="el-GR"/>
        </w:rPr>
        <w:instrText xml:space="preserve"> </w:instrText>
      </w:r>
      <w:r w:rsidRPr="001274E9">
        <w:rPr>
          <w:rFonts w:asciiTheme="majorHAnsi" w:hAnsiTheme="majorHAnsi" w:cstheme="majorHAnsi"/>
          <w:b/>
          <w:bCs/>
          <w:i w:val="0"/>
          <w:iCs w:val="0"/>
          <w:color w:val="1C6194" w:themeColor="accent2" w:themeShade="BF"/>
          <w:sz w:val="24"/>
          <w:szCs w:val="24"/>
        </w:rPr>
        <w:fldChar w:fldCharType="separate"/>
      </w:r>
      <w:r w:rsidRPr="001274E9">
        <w:rPr>
          <w:rFonts w:asciiTheme="majorHAnsi" w:hAnsiTheme="majorHAnsi" w:cstheme="majorHAnsi"/>
          <w:b/>
          <w:bCs/>
          <w:i w:val="0"/>
          <w:iCs w:val="0"/>
          <w:noProof/>
          <w:color w:val="1C6194" w:themeColor="accent2" w:themeShade="BF"/>
          <w:sz w:val="24"/>
          <w:szCs w:val="24"/>
          <w:lang w:val="el-GR"/>
        </w:rPr>
        <w:t>3</w:t>
      </w:r>
      <w:r w:rsidRPr="001274E9">
        <w:rPr>
          <w:rFonts w:asciiTheme="majorHAnsi" w:hAnsiTheme="majorHAnsi" w:cstheme="majorHAnsi"/>
          <w:b/>
          <w:bCs/>
          <w:i w:val="0"/>
          <w:iCs w:val="0"/>
          <w:color w:val="1C6194" w:themeColor="accent2" w:themeShade="BF"/>
          <w:sz w:val="24"/>
          <w:szCs w:val="24"/>
        </w:rPr>
        <w:fldChar w:fldCharType="end"/>
      </w:r>
      <w:r w:rsidRPr="001274E9">
        <w:rPr>
          <w:rFonts w:asciiTheme="majorHAnsi" w:hAnsiTheme="majorHAnsi" w:cstheme="majorHAnsi"/>
          <w:i w:val="0"/>
          <w:iCs w:val="0"/>
          <w:color w:val="1C6194" w:themeColor="accent2" w:themeShade="BF"/>
          <w:sz w:val="24"/>
          <w:szCs w:val="24"/>
          <w:lang w:val="el-GR"/>
        </w:rPr>
        <w:t>.</w:t>
      </w:r>
      <w:bookmarkEnd w:id="20"/>
      <w:r w:rsidR="001274E9" w:rsidRPr="002644C7">
        <w:rPr>
          <w:lang w:val="el-GR"/>
        </w:rPr>
        <w:t xml:space="preserve"> </w:t>
      </w:r>
      <w:r w:rsidR="001274E9" w:rsidRPr="001274E9">
        <w:rPr>
          <w:rFonts w:asciiTheme="majorHAnsi" w:hAnsiTheme="majorHAnsi" w:cstheme="majorHAnsi"/>
          <w:i w:val="0"/>
          <w:iCs w:val="0"/>
          <w:color w:val="1C6194" w:themeColor="accent2" w:themeShade="BF"/>
          <w:sz w:val="24"/>
          <w:szCs w:val="24"/>
          <w:lang w:val="el-GR"/>
        </w:rPr>
        <w:t>Καθυστέρηση στην πληρωμή του ενοικίου ή της δόσης του στεγαστικού δανείου λόγω οικονομικής δυσκολίας (2021 &amp; 2025)</w:t>
      </w:r>
      <w:bookmarkEnd w:id="21"/>
    </w:p>
    <w:p w14:paraId="01B53C1D" w14:textId="3A6A4EAF" w:rsidR="001274E9" w:rsidRPr="001274E9" w:rsidRDefault="00F738CE" w:rsidP="00D04873">
      <w:pPr>
        <w:spacing w:before="120"/>
        <w:ind w:left="142"/>
        <w:jc w:val="center"/>
        <w:rPr>
          <w:lang w:val="el-GR"/>
        </w:rPr>
      </w:pPr>
      <w:r>
        <w:rPr>
          <w:noProof/>
        </w:rPr>
        <w:drawing>
          <wp:inline distT="0" distB="0" distL="0" distR="0" wp14:anchorId="1B5961A0" wp14:editId="73A691C5">
            <wp:extent cx="5175250" cy="3313113"/>
            <wp:effectExtent l="0" t="0" r="6350" b="1905"/>
            <wp:docPr id="1733538744" name="Chart 1" descr="2021: με αναπηρία 31,3% και χωρίς αναπηρία 24,2%. &#10;2025: με αναπηρία 47,7% και χωρίς αναπηρία 29,3%.&#10;">
              <a:extLst xmlns:a="http://schemas.openxmlformats.org/drawingml/2006/main">
                <a:ext uri="{FF2B5EF4-FFF2-40B4-BE49-F238E27FC236}">
                  <a16:creationId xmlns:a16="http://schemas.microsoft.com/office/drawing/2014/main" id="{494185BC-5771-F8C9-3674-5079F3F8F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21B6ECE" w14:textId="4060AE52" w:rsidR="00412692" w:rsidRPr="002E31F3" w:rsidRDefault="00412692" w:rsidP="00412692">
      <w:pPr>
        <w:pStyle w:val="a5"/>
        <w:jc w:val="center"/>
        <w:rPr>
          <w:rFonts w:asciiTheme="majorHAnsi" w:hAnsiTheme="majorHAnsi" w:cstheme="majorHAnsi"/>
          <w:color w:val="1C6194" w:themeColor="accent2" w:themeShade="BF"/>
          <w:lang w:val="el-GR"/>
        </w:rPr>
      </w:pPr>
      <w:r w:rsidRPr="001274E9">
        <w:rPr>
          <w:rFonts w:asciiTheme="majorHAnsi" w:hAnsiTheme="majorHAnsi" w:cstheme="majorHAnsi"/>
          <w:b/>
          <w:bCs/>
          <w:color w:val="1C6194" w:themeColor="accent2" w:themeShade="BF"/>
          <w:lang w:val="el-GR"/>
        </w:rPr>
        <w:t>Πηγή</w:t>
      </w:r>
      <w:r w:rsidRPr="001274E9">
        <w:rPr>
          <w:rFonts w:asciiTheme="majorHAnsi" w:hAnsiTheme="majorHAnsi" w:cstheme="majorHAnsi"/>
          <w:color w:val="1C6194" w:themeColor="accent2" w:themeShade="BF"/>
          <w:lang w:val="el-GR"/>
        </w:rPr>
        <w:t xml:space="preserve">: Στοιχεία Ελληνικής Στατιστικής Αρχής, Έρευνα Εισοδήματος και Συνθηκών Διαβίωσης των Νοικοκυριών / </w:t>
      </w:r>
      <w:r w:rsidRPr="001274E9">
        <w:rPr>
          <w:rFonts w:asciiTheme="majorHAnsi" w:hAnsiTheme="majorHAnsi" w:cstheme="majorHAnsi"/>
          <w:b/>
          <w:bCs/>
          <w:color w:val="1C6194" w:themeColor="accent2" w:themeShade="BF"/>
          <w:lang w:val="el-GR"/>
        </w:rPr>
        <w:t>Επεξεργασία δεδομένων</w:t>
      </w:r>
      <w:r w:rsidRPr="001274E9">
        <w:rPr>
          <w:rFonts w:asciiTheme="majorHAnsi" w:hAnsiTheme="majorHAnsi" w:cstheme="majorHAnsi"/>
          <w:color w:val="1C6194" w:themeColor="accent2" w:themeShade="BF"/>
          <w:lang w:val="el-GR"/>
        </w:rPr>
        <w:t>: Εθνική Συνομοσπονδία Ατόμων με Αναπηρία</w:t>
      </w:r>
      <w:r w:rsidR="00D04873" w:rsidRPr="002E31F3">
        <w:rPr>
          <w:rFonts w:asciiTheme="majorHAnsi" w:hAnsiTheme="majorHAnsi" w:cstheme="majorHAnsi"/>
          <w:color w:val="1C6194" w:themeColor="accent2" w:themeShade="BF"/>
          <w:lang w:val="el-GR"/>
        </w:rPr>
        <w:t xml:space="preserve"> (</w:t>
      </w:r>
      <w:r w:rsidRPr="001274E9">
        <w:rPr>
          <w:rFonts w:asciiTheme="majorHAnsi" w:hAnsiTheme="majorHAnsi" w:cstheme="majorHAnsi"/>
          <w:color w:val="1C6194" w:themeColor="accent2" w:themeShade="BF"/>
          <w:lang w:val="el-GR"/>
        </w:rPr>
        <w:t>ΕΣΑμεΑ</w:t>
      </w:r>
      <w:r w:rsidR="00D04873" w:rsidRPr="002E31F3">
        <w:rPr>
          <w:rFonts w:asciiTheme="majorHAnsi" w:hAnsiTheme="majorHAnsi" w:cstheme="majorHAnsi"/>
          <w:color w:val="1C6194" w:themeColor="accent2" w:themeShade="BF"/>
          <w:lang w:val="el-GR"/>
        </w:rPr>
        <w:t>)</w:t>
      </w:r>
    </w:p>
    <w:p w14:paraId="15CE1DA0" w14:textId="18CE255C" w:rsidR="002644C7" w:rsidRPr="002E31F3" w:rsidRDefault="002644C7" w:rsidP="002644C7">
      <w:pPr>
        <w:spacing w:line="276" w:lineRule="auto"/>
        <w:jc w:val="both"/>
        <w:rPr>
          <w:rFonts w:ascii="Constantia" w:eastAsia="Constantia" w:hAnsi="Constantia" w:cs="Constantia"/>
          <w:sz w:val="24"/>
          <w:szCs w:val="24"/>
          <w:lang w:val="el-GR"/>
        </w:rPr>
      </w:pPr>
      <w:r>
        <w:rPr>
          <w:rFonts w:ascii="Constantia" w:eastAsia="Constantia" w:hAnsi="Constantia" w:cs="Constantia"/>
          <w:sz w:val="24"/>
          <w:szCs w:val="24"/>
          <w:lang w:val="el-GR"/>
        </w:rPr>
        <w:t>Σύμφωνα με τα δεδομένα,</w:t>
      </w:r>
      <w:r w:rsidRPr="005471DF">
        <w:rPr>
          <w:rFonts w:ascii="Constantia" w:eastAsia="Constantia" w:hAnsi="Constantia" w:cs="Constantia"/>
          <w:sz w:val="24"/>
          <w:szCs w:val="24"/>
          <w:lang w:val="el-GR"/>
        </w:rPr>
        <w:t xml:space="preserve"> τα άτομα με αναπηρία </w:t>
      </w:r>
      <w:r>
        <w:rPr>
          <w:rFonts w:ascii="Constantia" w:eastAsia="Constantia" w:hAnsi="Constantia" w:cs="Constantia"/>
          <w:sz w:val="24"/>
          <w:szCs w:val="24"/>
          <w:lang w:val="el-GR"/>
        </w:rPr>
        <w:t xml:space="preserve">και οι οικογένειες τους, </w:t>
      </w:r>
      <w:r w:rsidRPr="005471DF">
        <w:rPr>
          <w:rFonts w:ascii="Constantia" w:eastAsia="Constantia" w:hAnsi="Constantia" w:cs="Constantia"/>
          <w:sz w:val="24"/>
          <w:szCs w:val="24"/>
          <w:lang w:val="el-GR"/>
        </w:rPr>
        <w:t xml:space="preserve">αντιμετωπίζουν διαχρονικά μεγαλύτερη δυσκολία στην </w:t>
      </w:r>
      <w:r>
        <w:rPr>
          <w:rFonts w:ascii="Constantia" w:eastAsia="Constantia" w:hAnsi="Constantia" w:cs="Constantia"/>
          <w:sz w:val="24"/>
          <w:szCs w:val="24"/>
          <w:lang w:val="el-GR"/>
        </w:rPr>
        <w:t xml:space="preserve">έγκαιρη </w:t>
      </w:r>
      <w:r w:rsidRPr="005471DF">
        <w:rPr>
          <w:rFonts w:ascii="Constantia" w:eastAsia="Constantia" w:hAnsi="Constantia" w:cs="Constantia"/>
          <w:sz w:val="24"/>
          <w:szCs w:val="24"/>
          <w:lang w:val="el-GR"/>
        </w:rPr>
        <w:t>καταβολή του ενοικίου ή των δόσεων του στεγαστικού δανείου τους, εύρημα που καταδεικνύει μια συνθήκη αυξημένης στεγαστικής επισφάλειας και κινδύνου απώλειας της κατοικίας τους.</w:t>
      </w:r>
    </w:p>
    <w:p w14:paraId="1F534464" w14:textId="415C690C" w:rsidR="002644C7" w:rsidRPr="002E31F3" w:rsidRDefault="002644C7" w:rsidP="002644C7">
      <w:pPr>
        <w:spacing w:line="276" w:lineRule="auto"/>
        <w:jc w:val="both"/>
        <w:rPr>
          <w:rFonts w:ascii="Constantia" w:eastAsia="Constantia" w:hAnsi="Constantia" w:cs="Constantia"/>
          <w:sz w:val="24"/>
          <w:szCs w:val="24"/>
          <w:lang w:val="el-GR"/>
        </w:rPr>
      </w:pPr>
      <w:r w:rsidRPr="005471DF">
        <w:rPr>
          <w:rFonts w:ascii="Constantia" w:eastAsia="Constantia" w:hAnsi="Constantia" w:cs="Constantia"/>
          <w:sz w:val="24"/>
          <w:szCs w:val="24"/>
          <w:lang w:val="el-GR"/>
        </w:rPr>
        <w:t>Κατά το διάστημα 2021-2025 το ποσοστό των ατόμων με αναπηρία που δυσκολεύεται να ανταπεξέλθει έγκαιρα στην αποπληρωμή αυτών των υποχρεώσεων σημειώνει τρομαχτική άνοδο της τάξεως των 1</w:t>
      </w:r>
      <w:r>
        <w:rPr>
          <w:rFonts w:ascii="Constantia" w:eastAsia="Constantia" w:hAnsi="Constantia" w:cs="Constantia"/>
          <w:sz w:val="24"/>
          <w:szCs w:val="24"/>
          <w:lang w:val="el-GR"/>
        </w:rPr>
        <w:t>6</w:t>
      </w:r>
      <w:r w:rsidRPr="005471DF">
        <w:rPr>
          <w:rFonts w:ascii="Constantia" w:eastAsia="Constantia" w:hAnsi="Constantia" w:cs="Constantia"/>
          <w:sz w:val="24"/>
          <w:szCs w:val="24"/>
          <w:lang w:val="el-GR"/>
        </w:rPr>
        <w:t xml:space="preserve"> μονάδων.</w:t>
      </w:r>
    </w:p>
    <w:p w14:paraId="40B113A3" w14:textId="70A06D96" w:rsidR="00520ABB" w:rsidRPr="002E31F3" w:rsidRDefault="002644C7" w:rsidP="00D04873">
      <w:pPr>
        <w:spacing w:line="276" w:lineRule="auto"/>
        <w:jc w:val="both"/>
        <w:rPr>
          <w:rFonts w:ascii="Constantia" w:eastAsia="Constantia" w:hAnsi="Constantia" w:cs="Constantia"/>
          <w:sz w:val="24"/>
          <w:szCs w:val="24"/>
          <w:lang w:val="el-GR"/>
        </w:rPr>
      </w:pPr>
      <w:r w:rsidRPr="005471DF">
        <w:rPr>
          <w:rFonts w:ascii="Constantia" w:eastAsia="Constantia" w:hAnsi="Constantia" w:cs="Constantia"/>
          <w:sz w:val="24"/>
          <w:szCs w:val="24"/>
          <w:lang w:val="el-GR"/>
        </w:rPr>
        <w:t>Μέσα σε μια τετραετία το ποσοστό των ατόμων με αναπηρία και καθυστερήσεις στην πληρωμή ενοικίου ή στεγαστικού δανείου ανήλθε από το 31,3% στο 4</w:t>
      </w:r>
      <w:r>
        <w:rPr>
          <w:rFonts w:ascii="Constantia" w:eastAsia="Constantia" w:hAnsi="Constantia" w:cs="Constantia"/>
          <w:sz w:val="24"/>
          <w:szCs w:val="24"/>
          <w:lang w:val="el-GR"/>
        </w:rPr>
        <w:t>7,7</w:t>
      </w:r>
      <w:r w:rsidRPr="005471DF">
        <w:rPr>
          <w:rFonts w:ascii="Constantia" w:eastAsia="Constantia" w:hAnsi="Constantia" w:cs="Constantia"/>
          <w:sz w:val="24"/>
          <w:szCs w:val="24"/>
          <w:lang w:val="el-GR"/>
        </w:rPr>
        <w:t>%. Στα άτομα χωρίς αναπηρία επίσης σημειώνεται αύξηση μικρότερης κλίμακας, με το ποσοστό όσων δυσκολεύονται να ανταπεξέλθουν εγκαίρως στο βασικό στεγαστικό έξοδο να υπολογίζεται σε 2</w:t>
      </w:r>
      <w:r>
        <w:rPr>
          <w:rFonts w:ascii="Constantia" w:eastAsia="Constantia" w:hAnsi="Constantia" w:cs="Constantia"/>
          <w:sz w:val="24"/>
          <w:szCs w:val="24"/>
          <w:lang w:val="el-GR"/>
        </w:rPr>
        <w:t>9,3</w:t>
      </w:r>
      <w:r w:rsidRPr="005471DF">
        <w:rPr>
          <w:rFonts w:ascii="Constantia" w:eastAsia="Constantia" w:hAnsi="Constantia" w:cs="Constantia"/>
          <w:sz w:val="24"/>
          <w:szCs w:val="24"/>
          <w:lang w:val="el-GR"/>
        </w:rPr>
        <w:t>% το 2025.</w:t>
      </w:r>
    </w:p>
    <w:p w14:paraId="4C030EF3" w14:textId="4E003F75" w:rsidR="00D04873" w:rsidRDefault="00520ABB" w:rsidP="00520ABB">
      <w:pPr>
        <w:spacing w:line="276" w:lineRule="auto"/>
        <w:jc w:val="both"/>
        <w:rPr>
          <w:rFonts w:ascii="Constantia" w:eastAsia="Constantia" w:hAnsi="Constantia" w:cs="Constantia"/>
          <w:sz w:val="24"/>
          <w:szCs w:val="24"/>
          <w:lang w:val="el-GR"/>
        </w:rPr>
      </w:pPr>
      <w:r w:rsidRPr="00520ABB">
        <w:rPr>
          <w:rFonts w:ascii="Constantia" w:eastAsia="Constantia" w:hAnsi="Constantia" w:cs="Constantia"/>
          <w:sz w:val="24"/>
          <w:szCs w:val="24"/>
          <w:lang w:val="el-GR"/>
        </w:rPr>
        <w:t>Αντίστοιχα επιβαρυμένη είναι και η εικόνα του δείκτη καθυστέρησης στην πληρωμή των λογαριασμών κοινής ωφέλειας λόγω οικονομικής δυσκολίας.</w:t>
      </w:r>
    </w:p>
    <w:p w14:paraId="7A8F53BA" w14:textId="77777777" w:rsidR="00D04873" w:rsidRDefault="00D04873">
      <w:pPr>
        <w:spacing w:after="0" w:line="240" w:lineRule="auto"/>
        <w:rPr>
          <w:rFonts w:ascii="Constantia" w:eastAsia="Constantia" w:hAnsi="Constantia" w:cs="Constantia"/>
          <w:sz w:val="24"/>
          <w:szCs w:val="24"/>
          <w:lang w:val="el-GR"/>
        </w:rPr>
      </w:pPr>
      <w:r>
        <w:rPr>
          <w:rFonts w:ascii="Constantia" w:eastAsia="Constantia" w:hAnsi="Constantia" w:cs="Constantia"/>
          <w:sz w:val="24"/>
          <w:szCs w:val="24"/>
          <w:lang w:val="el-GR"/>
        </w:rPr>
        <w:br w:type="page"/>
      </w:r>
    </w:p>
    <w:p w14:paraId="2FFED0B1" w14:textId="77777777" w:rsidR="00991D92" w:rsidRDefault="00412692" w:rsidP="00CD4E02">
      <w:pPr>
        <w:pStyle w:val="a5"/>
        <w:spacing w:before="360" w:after="120"/>
        <w:ind w:left="567" w:right="566"/>
        <w:jc w:val="center"/>
        <w:rPr>
          <w:rFonts w:asciiTheme="majorHAnsi" w:hAnsiTheme="majorHAnsi" w:cstheme="majorHAnsi"/>
          <w:i w:val="0"/>
          <w:iCs w:val="0"/>
          <w:color w:val="1C6194" w:themeColor="accent2" w:themeShade="BF"/>
          <w:sz w:val="24"/>
          <w:szCs w:val="24"/>
          <w:lang w:val="el-GR"/>
        </w:rPr>
      </w:pPr>
      <w:bookmarkStart w:id="22" w:name="_Toc171592519"/>
      <w:bookmarkStart w:id="23" w:name="_Toc235457014"/>
      <w:r w:rsidRPr="00520ABB">
        <w:rPr>
          <w:rFonts w:asciiTheme="majorHAnsi" w:hAnsiTheme="majorHAnsi" w:cstheme="majorHAnsi"/>
          <w:b/>
          <w:bCs/>
          <w:i w:val="0"/>
          <w:iCs w:val="0"/>
          <w:color w:val="1C6194" w:themeColor="accent2" w:themeShade="BF"/>
          <w:sz w:val="24"/>
          <w:szCs w:val="24"/>
          <w:lang w:val="el-GR"/>
        </w:rPr>
        <w:t xml:space="preserve">Γράφημα </w:t>
      </w:r>
      <w:r w:rsidRPr="00520ABB">
        <w:rPr>
          <w:rFonts w:asciiTheme="majorHAnsi" w:hAnsiTheme="majorHAnsi" w:cstheme="majorHAnsi"/>
          <w:b/>
          <w:bCs/>
          <w:i w:val="0"/>
          <w:iCs w:val="0"/>
          <w:color w:val="1C6194" w:themeColor="accent2" w:themeShade="BF"/>
          <w:sz w:val="24"/>
          <w:szCs w:val="24"/>
        </w:rPr>
        <w:fldChar w:fldCharType="begin"/>
      </w:r>
      <w:r w:rsidRPr="00520ABB">
        <w:rPr>
          <w:rFonts w:asciiTheme="majorHAnsi" w:hAnsiTheme="majorHAnsi" w:cstheme="majorHAnsi"/>
          <w:b/>
          <w:bCs/>
          <w:i w:val="0"/>
          <w:iCs w:val="0"/>
          <w:color w:val="1C6194" w:themeColor="accent2" w:themeShade="BF"/>
          <w:sz w:val="24"/>
          <w:szCs w:val="24"/>
          <w:lang w:val="el-GR"/>
        </w:rPr>
        <w:instrText xml:space="preserve"> </w:instrText>
      </w:r>
      <w:r w:rsidRPr="00520ABB">
        <w:rPr>
          <w:rFonts w:asciiTheme="majorHAnsi" w:hAnsiTheme="majorHAnsi" w:cstheme="majorHAnsi"/>
          <w:b/>
          <w:bCs/>
          <w:i w:val="0"/>
          <w:iCs w:val="0"/>
          <w:color w:val="1C6194" w:themeColor="accent2" w:themeShade="BF"/>
          <w:sz w:val="24"/>
          <w:szCs w:val="24"/>
        </w:rPr>
        <w:instrText>SEQ</w:instrText>
      </w:r>
      <w:r w:rsidRPr="00520ABB">
        <w:rPr>
          <w:rFonts w:asciiTheme="majorHAnsi" w:hAnsiTheme="majorHAnsi" w:cstheme="majorHAnsi"/>
          <w:b/>
          <w:bCs/>
          <w:i w:val="0"/>
          <w:iCs w:val="0"/>
          <w:color w:val="1C6194" w:themeColor="accent2" w:themeShade="BF"/>
          <w:sz w:val="24"/>
          <w:szCs w:val="24"/>
          <w:lang w:val="el-GR"/>
        </w:rPr>
        <w:instrText xml:space="preserve"> Γράφημα \* </w:instrText>
      </w:r>
      <w:r w:rsidRPr="00520ABB">
        <w:rPr>
          <w:rFonts w:asciiTheme="majorHAnsi" w:hAnsiTheme="majorHAnsi" w:cstheme="majorHAnsi"/>
          <w:b/>
          <w:bCs/>
          <w:i w:val="0"/>
          <w:iCs w:val="0"/>
          <w:color w:val="1C6194" w:themeColor="accent2" w:themeShade="BF"/>
          <w:sz w:val="24"/>
          <w:szCs w:val="24"/>
        </w:rPr>
        <w:instrText>ARABIC</w:instrText>
      </w:r>
      <w:r w:rsidRPr="00520ABB">
        <w:rPr>
          <w:rFonts w:asciiTheme="majorHAnsi" w:hAnsiTheme="majorHAnsi" w:cstheme="majorHAnsi"/>
          <w:b/>
          <w:bCs/>
          <w:i w:val="0"/>
          <w:iCs w:val="0"/>
          <w:color w:val="1C6194" w:themeColor="accent2" w:themeShade="BF"/>
          <w:sz w:val="24"/>
          <w:szCs w:val="24"/>
          <w:lang w:val="el-GR"/>
        </w:rPr>
        <w:instrText xml:space="preserve"> </w:instrText>
      </w:r>
      <w:r w:rsidRPr="00520ABB">
        <w:rPr>
          <w:rFonts w:asciiTheme="majorHAnsi" w:hAnsiTheme="majorHAnsi" w:cstheme="majorHAnsi"/>
          <w:b/>
          <w:bCs/>
          <w:i w:val="0"/>
          <w:iCs w:val="0"/>
          <w:color w:val="1C6194" w:themeColor="accent2" w:themeShade="BF"/>
          <w:sz w:val="24"/>
          <w:szCs w:val="24"/>
        </w:rPr>
        <w:fldChar w:fldCharType="separate"/>
      </w:r>
      <w:r w:rsidRPr="00520ABB">
        <w:rPr>
          <w:rFonts w:asciiTheme="majorHAnsi" w:hAnsiTheme="majorHAnsi" w:cstheme="majorHAnsi"/>
          <w:b/>
          <w:bCs/>
          <w:i w:val="0"/>
          <w:iCs w:val="0"/>
          <w:noProof/>
          <w:color w:val="1C6194" w:themeColor="accent2" w:themeShade="BF"/>
          <w:sz w:val="24"/>
          <w:szCs w:val="24"/>
          <w:lang w:val="el-GR"/>
        </w:rPr>
        <w:t>4</w:t>
      </w:r>
      <w:r w:rsidRPr="00520ABB">
        <w:rPr>
          <w:rFonts w:asciiTheme="majorHAnsi" w:hAnsiTheme="majorHAnsi" w:cstheme="majorHAnsi"/>
          <w:b/>
          <w:bCs/>
          <w:i w:val="0"/>
          <w:iCs w:val="0"/>
          <w:color w:val="1C6194" w:themeColor="accent2" w:themeShade="BF"/>
          <w:sz w:val="24"/>
          <w:szCs w:val="24"/>
        </w:rPr>
        <w:fldChar w:fldCharType="end"/>
      </w:r>
      <w:r w:rsidRPr="00520ABB">
        <w:rPr>
          <w:rFonts w:asciiTheme="majorHAnsi" w:hAnsiTheme="majorHAnsi" w:cstheme="majorHAnsi"/>
          <w:i w:val="0"/>
          <w:iCs w:val="0"/>
          <w:color w:val="1C6194" w:themeColor="accent2" w:themeShade="BF"/>
          <w:sz w:val="24"/>
          <w:szCs w:val="24"/>
          <w:lang w:val="el-GR"/>
        </w:rPr>
        <w:t xml:space="preserve">. </w:t>
      </w:r>
      <w:bookmarkEnd w:id="22"/>
      <w:r w:rsidR="00520ABB" w:rsidRPr="00520ABB">
        <w:rPr>
          <w:rFonts w:asciiTheme="majorHAnsi" w:hAnsiTheme="majorHAnsi" w:cstheme="majorHAnsi"/>
          <w:i w:val="0"/>
          <w:iCs w:val="0"/>
          <w:color w:val="1C6194" w:themeColor="accent2" w:themeShade="BF"/>
          <w:sz w:val="24"/>
          <w:szCs w:val="24"/>
          <w:lang w:val="el-GR"/>
        </w:rPr>
        <w:t>Καθυστέρηση στην πληρωμή των λογαριασμών κοινής ωφέλειας λόγω οικονομικής δυσκολίας</w:t>
      </w:r>
      <w:bookmarkEnd w:id="23"/>
    </w:p>
    <w:p w14:paraId="5E6DFABA" w14:textId="5DB6E040" w:rsidR="00520ABB" w:rsidRPr="00520ABB" w:rsidRDefault="00CD4E02" w:rsidP="00CD4E02">
      <w:pPr>
        <w:pStyle w:val="a5"/>
        <w:spacing w:before="240" w:after="120"/>
        <w:jc w:val="center"/>
        <w:rPr>
          <w:lang w:val="el-GR"/>
        </w:rPr>
      </w:pPr>
      <w:r>
        <w:rPr>
          <w:noProof/>
        </w:rPr>
        <w:drawing>
          <wp:inline distT="0" distB="0" distL="0" distR="0" wp14:anchorId="4BC5D6DC" wp14:editId="60252042">
            <wp:extent cx="4572000" cy="2352675"/>
            <wp:effectExtent l="0" t="0" r="0" b="0"/>
            <wp:docPr id="1920278743" name="Chart 1" descr="2021: με αναπηρία 28% και χωρίς αναπηρία 25,4%.&#10;2025: με αναπηρία 37,9% και χωρίς αναπηρία 30%.&#10;&#10;">
              <a:extLst xmlns:a="http://schemas.openxmlformats.org/drawingml/2006/main">
                <a:ext uri="{FF2B5EF4-FFF2-40B4-BE49-F238E27FC236}">
                  <a16:creationId xmlns:a16="http://schemas.microsoft.com/office/drawing/2014/main" id="{A6EB7739-406D-44ED-AD2C-D467F31CAC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96FD985" w14:textId="77777777" w:rsidR="00D04873" w:rsidRPr="002E31F3" w:rsidRDefault="00D04873" w:rsidP="00D04873">
      <w:pPr>
        <w:pStyle w:val="a5"/>
        <w:jc w:val="center"/>
        <w:rPr>
          <w:rFonts w:asciiTheme="majorHAnsi" w:hAnsiTheme="majorHAnsi" w:cstheme="majorHAnsi"/>
          <w:color w:val="1C6194" w:themeColor="accent2" w:themeShade="BF"/>
          <w:lang w:val="el-GR"/>
        </w:rPr>
      </w:pPr>
      <w:bookmarkStart w:id="24" w:name="_Toc171592514"/>
      <w:bookmarkEnd w:id="8"/>
      <w:r w:rsidRPr="001274E9">
        <w:rPr>
          <w:rFonts w:asciiTheme="majorHAnsi" w:hAnsiTheme="majorHAnsi" w:cstheme="majorHAnsi"/>
          <w:b/>
          <w:bCs/>
          <w:color w:val="1C6194" w:themeColor="accent2" w:themeShade="BF"/>
          <w:lang w:val="el-GR"/>
        </w:rPr>
        <w:t>Πηγή</w:t>
      </w:r>
      <w:r w:rsidRPr="001274E9">
        <w:rPr>
          <w:rFonts w:asciiTheme="majorHAnsi" w:hAnsiTheme="majorHAnsi" w:cstheme="majorHAnsi"/>
          <w:color w:val="1C6194" w:themeColor="accent2" w:themeShade="BF"/>
          <w:lang w:val="el-GR"/>
        </w:rPr>
        <w:t xml:space="preserve">: Στοιχεία Ελληνικής Στατιστικής Αρχής, Έρευνα Εισοδήματος και Συνθηκών Διαβίωσης των Νοικοκυριών / </w:t>
      </w:r>
      <w:r w:rsidRPr="001274E9">
        <w:rPr>
          <w:rFonts w:asciiTheme="majorHAnsi" w:hAnsiTheme="majorHAnsi" w:cstheme="majorHAnsi"/>
          <w:b/>
          <w:bCs/>
          <w:color w:val="1C6194" w:themeColor="accent2" w:themeShade="BF"/>
          <w:lang w:val="el-GR"/>
        </w:rPr>
        <w:t>Επεξεργασία δεδομένων</w:t>
      </w:r>
      <w:r w:rsidRPr="001274E9">
        <w:rPr>
          <w:rFonts w:asciiTheme="majorHAnsi" w:hAnsiTheme="majorHAnsi" w:cstheme="majorHAnsi"/>
          <w:color w:val="1C6194" w:themeColor="accent2" w:themeShade="BF"/>
          <w:lang w:val="el-GR"/>
        </w:rPr>
        <w:t>: Εθνική Συνομοσπονδία Ατόμων με Αναπηρία</w:t>
      </w:r>
      <w:r w:rsidRPr="002E31F3">
        <w:rPr>
          <w:rFonts w:asciiTheme="majorHAnsi" w:hAnsiTheme="majorHAnsi" w:cstheme="majorHAnsi"/>
          <w:color w:val="1C6194" w:themeColor="accent2" w:themeShade="BF"/>
          <w:lang w:val="el-GR"/>
        </w:rPr>
        <w:t xml:space="preserve"> (</w:t>
      </w:r>
      <w:r w:rsidRPr="001274E9">
        <w:rPr>
          <w:rFonts w:asciiTheme="majorHAnsi" w:hAnsiTheme="majorHAnsi" w:cstheme="majorHAnsi"/>
          <w:color w:val="1C6194" w:themeColor="accent2" w:themeShade="BF"/>
          <w:lang w:val="el-GR"/>
        </w:rPr>
        <w:t>ΕΣΑμεΑ</w:t>
      </w:r>
      <w:r w:rsidRPr="002E31F3">
        <w:rPr>
          <w:rFonts w:asciiTheme="majorHAnsi" w:hAnsiTheme="majorHAnsi" w:cstheme="majorHAnsi"/>
          <w:color w:val="1C6194" w:themeColor="accent2" w:themeShade="BF"/>
          <w:lang w:val="el-GR"/>
        </w:rPr>
        <w:t>)</w:t>
      </w:r>
    </w:p>
    <w:p w14:paraId="6525D887" w14:textId="764D7FD8" w:rsidR="007578C2" w:rsidRDefault="00520ABB" w:rsidP="00CD4E02">
      <w:pPr>
        <w:spacing w:line="276" w:lineRule="auto"/>
        <w:jc w:val="both"/>
        <w:rPr>
          <w:rFonts w:ascii="Constantia" w:hAnsi="Constantia"/>
          <w:sz w:val="24"/>
          <w:szCs w:val="24"/>
          <w:lang w:val="el-GR"/>
        </w:rPr>
      </w:pPr>
      <w:r w:rsidRPr="00662415">
        <w:rPr>
          <w:rFonts w:ascii="Constantia" w:hAnsi="Constantia"/>
          <w:sz w:val="24"/>
          <w:szCs w:val="24"/>
          <w:lang w:val="el-GR"/>
        </w:rPr>
        <w:t>Κατά την περίοδο 2021-2025, η αύξηση του ποσοστού του πληθυσμού με αναπηρία που αδυνατεί πλέον να ανταπεξέλθει έγκαιρα στα πάγια έξοδα των λογαριασμών κοινής ωφέλειας της κύριας κατοικίας είναι δραματική</w:t>
      </w:r>
      <w:r w:rsidR="00E37E37">
        <w:rPr>
          <w:rFonts w:ascii="Constantia" w:hAnsi="Constantia"/>
          <w:sz w:val="24"/>
          <w:szCs w:val="24"/>
          <w:lang w:val="el-GR"/>
        </w:rPr>
        <w:t>,</w:t>
      </w:r>
      <w:r w:rsidRPr="00662415">
        <w:rPr>
          <w:rFonts w:ascii="Constantia" w:hAnsi="Constantia"/>
          <w:sz w:val="24"/>
          <w:szCs w:val="24"/>
          <w:lang w:val="el-GR"/>
        </w:rPr>
        <w:t xml:space="preserve"> με την τιμή του δείκτη να μεταβάλλεται από 28% το 2021 σε 37,9% το 2025. </w:t>
      </w:r>
      <w:r>
        <w:rPr>
          <w:rFonts w:ascii="Constantia" w:hAnsi="Constantia"/>
          <w:sz w:val="24"/>
          <w:szCs w:val="24"/>
          <w:lang w:val="el-GR"/>
        </w:rPr>
        <w:t>Αντίστοιχα, διαπιστώνεται επιδείνωση μικρότερης κλίμακας στον πληθυσμό χωρίς αναπηρία.</w:t>
      </w:r>
    </w:p>
    <w:p w14:paraId="162E7EDD" w14:textId="77777777" w:rsidR="007578C2" w:rsidRDefault="007578C2">
      <w:pPr>
        <w:spacing w:after="0" w:line="240" w:lineRule="auto"/>
        <w:rPr>
          <w:rFonts w:ascii="Constantia" w:hAnsi="Constantia"/>
          <w:sz w:val="24"/>
          <w:szCs w:val="24"/>
          <w:lang w:val="el-GR"/>
        </w:rPr>
      </w:pPr>
      <w:r>
        <w:rPr>
          <w:rFonts w:ascii="Constantia" w:hAnsi="Constantia"/>
          <w:sz w:val="24"/>
          <w:szCs w:val="24"/>
          <w:lang w:val="el-GR"/>
        </w:rPr>
        <w:br w:type="page"/>
      </w:r>
    </w:p>
    <w:p w14:paraId="10DE6A06" w14:textId="16A44FA0" w:rsidR="00E37E37" w:rsidRPr="002E31F3" w:rsidRDefault="00E37E37" w:rsidP="00A62D5B">
      <w:pPr>
        <w:pStyle w:val="10"/>
        <w:spacing w:after="360"/>
        <w:ind w:left="431" w:hanging="431"/>
        <w:rPr>
          <w:b/>
          <w:bCs/>
          <w:color w:val="auto"/>
          <w:lang w:val="el-GR"/>
        </w:rPr>
      </w:pPr>
      <w:bookmarkStart w:id="25" w:name="_Toc235457008"/>
      <w:bookmarkEnd w:id="24"/>
      <w:r w:rsidRPr="002E31F3">
        <w:rPr>
          <w:b/>
          <w:bCs/>
          <w:color w:val="auto"/>
          <w:lang w:val="el-GR"/>
        </w:rPr>
        <w:t xml:space="preserve">Ο σύνθετος δείκτης της </w:t>
      </w:r>
      <w:r w:rsidRPr="00A62D5B">
        <w:rPr>
          <w:b/>
          <w:bCs/>
          <w:color w:val="auto"/>
        </w:rPr>
        <w:t>Eurostat</w:t>
      </w:r>
      <w:r w:rsidRPr="002E31F3">
        <w:rPr>
          <w:b/>
          <w:bCs/>
          <w:color w:val="auto"/>
          <w:lang w:val="el-GR"/>
        </w:rPr>
        <w:t xml:space="preserve"> «Ποσοστό ατόμων με ληξιπρόθεσμες οφειλές»</w:t>
      </w:r>
      <w:bookmarkEnd w:id="25"/>
    </w:p>
    <w:p w14:paraId="1DDF918A" w14:textId="55990382" w:rsidR="00E37E37" w:rsidRPr="00E37E37" w:rsidRDefault="00E37E37" w:rsidP="00E37E37">
      <w:pPr>
        <w:spacing w:line="276" w:lineRule="auto"/>
        <w:jc w:val="both"/>
        <w:rPr>
          <w:rFonts w:ascii="Constantia" w:eastAsia="Constantia" w:hAnsi="Constantia" w:cs="Constantia"/>
          <w:sz w:val="24"/>
          <w:szCs w:val="24"/>
          <w:lang w:val="el-GR"/>
        </w:rPr>
      </w:pPr>
      <w:r w:rsidRPr="00E37E37">
        <w:rPr>
          <w:rFonts w:ascii="Constantia" w:eastAsia="Constantia" w:hAnsi="Constantia" w:cs="Constantia"/>
          <w:sz w:val="24"/>
          <w:szCs w:val="24"/>
          <w:lang w:val="el-GR"/>
        </w:rPr>
        <w:t xml:space="preserve">Εν συνεχεία, προκειμένου να έχουμε μια διαχρονική και συγκριτική εικόνα σε επίπεδο Ευρωπαϊκής Ένωσης εξετάζεται ο σύνθετος δείκτης «Ποσοστό ατόμων με ληξιπρόθεσμες οφειλές» της </w:t>
      </w:r>
      <w:r w:rsidRPr="00E37E37">
        <w:rPr>
          <w:rFonts w:ascii="Constantia" w:eastAsia="Constantia" w:hAnsi="Constantia" w:cs="Constantia"/>
          <w:sz w:val="24"/>
          <w:szCs w:val="24"/>
        </w:rPr>
        <w:t>Eurostat</w:t>
      </w:r>
      <w:r w:rsidRPr="00E37E37">
        <w:rPr>
          <w:rFonts w:ascii="Constantia" w:eastAsia="Constantia" w:hAnsi="Constantia" w:cs="Constantia"/>
          <w:sz w:val="24"/>
          <w:szCs w:val="24"/>
          <w:lang w:val="el-GR"/>
        </w:rPr>
        <w:t xml:space="preserve">, ο οποίος συνυπολογίζει τους δύο δείκτες που παρουσιάστηκαν, δηλαδή την καθυστέρηση πληρωμής ενοικίου ή στεγαστικού δανείου και την καθυστέρηση πληρωμής των λογαριασμών κοινής ωφέλειας λόγω οικονομικής δυσκολίας, αλλά </w:t>
      </w:r>
      <w:r>
        <w:rPr>
          <w:rFonts w:ascii="Constantia" w:eastAsia="Constantia" w:hAnsi="Constantia" w:cs="Constantia"/>
          <w:sz w:val="24"/>
          <w:szCs w:val="24"/>
          <w:lang w:val="el-GR"/>
        </w:rPr>
        <w:t>λαμβάνει</w:t>
      </w:r>
      <w:r w:rsidRPr="00E37E37">
        <w:rPr>
          <w:rFonts w:ascii="Constantia" w:eastAsia="Constantia" w:hAnsi="Constantia" w:cs="Constantia"/>
          <w:sz w:val="24"/>
          <w:szCs w:val="24"/>
          <w:lang w:val="el-GR"/>
        </w:rPr>
        <w:t xml:space="preserve"> επίσης </w:t>
      </w:r>
      <w:r>
        <w:rPr>
          <w:rFonts w:ascii="Constantia" w:eastAsia="Constantia" w:hAnsi="Constantia" w:cs="Constantia"/>
          <w:sz w:val="24"/>
          <w:szCs w:val="24"/>
          <w:lang w:val="el-GR"/>
        </w:rPr>
        <w:t xml:space="preserve">υπόψη </w:t>
      </w:r>
      <w:r w:rsidRPr="00E37E37">
        <w:rPr>
          <w:rFonts w:ascii="Constantia" w:eastAsia="Constantia" w:hAnsi="Constantia" w:cs="Constantia"/>
          <w:sz w:val="24"/>
          <w:szCs w:val="24"/>
          <w:lang w:val="el-GR"/>
        </w:rPr>
        <w:t xml:space="preserve">την καθυστέρηση </w:t>
      </w:r>
      <w:r>
        <w:rPr>
          <w:rFonts w:ascii="Constantia" w:eastAsia="Constantia" w:hAnsi="Constantia" w:cs="Constantia"/>
          <w:sz w:val="24"/>
          <w:szCs w:val="24"/>
          <w:lang w:val="el-GR"/>
        </w:rPr>
        <w:t xml:space="preserve">πληρωμής </w:t>
      </w:r>
      <w:r w:rsidRPr="00E37E37">
        <w:rPr>
          <w:rFonts w:ascii="Constantia" w:eastAsia="Constantia" w:hAnsi="Constantia" w:cs="Constantia"/>
          <w:sz w:val="24"/>
          <w:szCs w:val="24"/>
          <w:lang w:val="el-GR"/>
        </w:rPr>
        <w:t xml:space="preserve">άλλων πάγιων </w:t>
      </w:r>
      <w:r>
        <w:rPr>
          <w:rFonts w:ascii="Constantia" w:eastAsia="Constantia" w:hAnsi="Constantia" w:cs="Constantia"/>
          <w:sz w:val="24"/>
          <w:szCs w:val="24"/>
          <w:lang w:val="el-GR"/>
        </w:rPr>
        <w:t>οφειλών</w:t>
      </w:r>
      <w:r w:rsidRPr="00E37E37">
        <w:rPr>
          <w:rFonts w:ascii="Constantia" w:eastAsia="Constantia" w:hAnsi="Constantia" w:cs="Constantia"/>
          <w:sz w:val="24"/>
          <w:szCs w:val="24"/>
          <w:lang w:val="el-GR"/>
        </w:rPr>
        <w:t>, όπως δόσεων πιστωτικών καρτών ή δανείων για οικοσκευή ή άλλων αγορών με δόσεις.</w:t>
      </w:r>
      <w:r>
        <w:rPr>
          <w:rFonts w:ascii="Constantia" w:eastAsia="Constantia" w:hAnsi="Constantia" w:cs="Constantia"/>
          <w:sz w:val="24"/>
          <w:szCs w:val="24"/>
          <w:lang w:val="el-GR"/>
        </w:rPr>
        <w:t xml:space="preserve"> </w:t>
      </w:r>
      <w:r w:rsidRPr="00E37E37">
        <w:rPr>
          <w:rFonts w:ascii="Constantia" w:eastAsia="Constantia" w:hAnsi="Constantia" w:cs="Constantia"/>
          <w:sz w:val="24"/>
          <w:szCs w:val="24"/>
          <w:lang w:val="el-GR"/>
        </w:rPr>
        <w:t>Πρόκειται δηλαδή για έναν σύνθετο δείκτη που συνυπολογίζει την αδυναμία του πληθυσμού να ανταπεξέλθει εγκαίρως στις πάγιες οικονομικές υποχρεώσεις του νοικοκυριού του.</w:t>
      </w:r>
    </w:p>
    <w:p w14:paraId="24DF2F47" w14:textId="6576063B" w:rsidR="00E37E37" w:rsidRPr="00E37E37" w:rsidRDefault="00E37E37" w:rsidP="00E37E37">
      <w:pPr>
        <w:spacing w:line="276" w:lineRule="auto"/>
        <w:jc w:val="both"/>
        <w:rPr>
          <w:rFonts w:ascii="Constantia" w:eastAsia="Constantia" w:hAnsi="Constantia" w:cs="Constantia"/>
          <w:sz w:val="24"/>
          <w:szCs w:val="24"/>
          <w:lang w:val="el-GR"/>
        </w:rPr>
      </w:pPr>
      <w:r w:rsidRPr="00E37E37">
        <w:rPr>
          <w:rFonts w:ascii="Constantia" w:eastAsia="Constantia" w:hAnsi="Constantia" w:cs="Constantia"/>
          <w:sz w:val="24"/>
          <w:szCs w:val="24"/>
          <w:lang w:val="el-GR"/>
        </w:rPr>
        <w:t>Η Ελλάδα καταγράφει σταθερά τη χειρότερη επίδοση στον εν λόγω δείκτη. Αναλυτικότερα, το 2025 το 44,6% των ατόμων με σοβαρή ή μέτρια αναπηρία δηλώνουν ότι έχουν καθυστερήσει την πληρωμή είτε ενοικίου ή στεγαστικού δανείου, λογαριασμών κοινής ωφέλειας ή αγορών με δόσεις. Η τιμή αυτή αποτελεί μια ακραία αρνητική εξαίρεση στη ΕΕ, καθώς βρίσκεται σε επίπεδο υπερτετραπλάσιο από τον ευρωπαϊκό μέσο όρο (10,1%), και σχεδόν διπλάσιο από αυτό της Βουλγαρίας και της Ρουμανίας που ακολουθούν την Ελλάδα στη φθίνουσα σειρά κατάταξης, με την τιμή του δείκτη να διαμορφώνεται και στις δύο αυτές χώρες στο 23,1%.</w:t>
      </w:r>
    </w:p>
    <w:p w14:paraId="0C798BEE" w14:textId="44E85202" w:rsidR="00E37E37" w:rsidRPr="00FF620B" w:rsidRDefault="00E37E37" w:rsidP="00E37E37">
      <w:pPr>
        <w:jc w:val="both"/>
        <w:rPr>
          <w:rFonts w:ascii="Constantia" w:hAnsi="Constantia"/>
          <w:sz w:val="24"/>
          <w:szCs w:val="24"/>
          <w:lang w:val="el-GR"/>
        </w:rPr>
      </w:pPr>
      <w:r w:rsidRPr="00FF620B">
        <w:rPr>
          <w:rFonts w:ascii="Constantia" w:hAnsi="Constantia"/>
          <w:sz w:val="24"/>
          <w:szCs w:val="24"/>
          <w:lang w:val="el-GR"/>
        </w:rPr>
        <w:t>Ο δείκτης ληξιπρόθεσμων οφειλών στην Ελλάδα παρουσιάζει υψηλές τιμές καθ’ όλη τη διάρκεια της περιόδου 2016-2025, γεγονός που υποδηλώνει τη διαχρονική δυσκολία του πληθυσμού με αναπηρία να ανταποκριθ</w:t>
      </w:r>
      <w:r>
        <w:rPr>
          <w:rFonts w:ascii="Constantia" w:hAnsi="Constantia"/>
          <w:sz w:val="24"/>
          <w:szCs w:val="24"/>
          <w:lang w:val="el-GR"/>
        </w:rPr>
        <w:t>εί</w:t>
      </w:r>
      <w:r w:rsidRPr="00FF620B">
        <w:rPr>
          <w:rFonts w:ascii="Constantia" w:hAnsi="Constantia"/>
          <w:sz w:val="24"/>
          <w:szCs w:val="24"/>
          <w:lang w:val="el-GR"/>
        </w:rPr>
        <w:t xml:space="preserve"> σε βασικές οικονομικές υποχρεώσεις, μεταξύ των οποίων βαρύνουσα θέση κατέχουν οι στεγαστικές δαπάνες, δεδομένου και του πρόσθετου κόστους διαβίωσης που επωμίζονται.</w:t>
      </w:r>
    </w:p>
    <w:p w14:paraId="2DF9CE41" w14:textId="2A757851" w:rsidR="007578C2" w:rsidRDefault="00E37E37" w:rsidP="00E37E37">
      <w:pPr>
        <w:jc w:val="both"/>
        <w:rPr>
          <w:rFonts w:ascii="Constantia" w:hAnsi="Constantia"/>
          <w:sz w:val="24"/>
          <w:szCs w:val="24"/>
          <w:lang w:val="el-GR"/>
        </w:rPr>
      </w:pPr>
      <w:r w:rsidRPr="00FF620B">
        <w:rPr>
          <w:rFonts w:ascii="Constantia" w:hAnsi="Constantia"/>
          <w:sz w:val="24"/>
          <w:szCs w:val="24"/>
          <w:lang w:val="el-GR"/>
        </w:rPr>
        <w:t>Ωστόσο η ανάλυση των διαχρονικών στοιχείων φανερώνει και πάλι δύο διακριτές περιόδους με σημείο καμπής το 2021.</w:t>
      </w:r>
    </w:p>
    <w:p w14:paraId="3B265DD8" w14:textId="05B92B6F" w:rsidR="007578C2" w:rsidRDefault="007578C2" w:rsidP="00E37E37">
      <w:pPr>
        <w:jc w:val="both"/>
        <w:rPr>
          <w:rFonts w:ascii="Constantia" w:hAnsi="Constantia"/>
          <w:sz w:val="24"/>
          <w:szCs w:val="24"/>
          <w:lang w:val="el-GR"/>
        </w:rPr>
      </w:pPr>
      <w:r w:rsidRPr="00AE1661">
        <w:rPr>
          <w:rFonts w:ascii="Constantia" w:hAnsi="Constantia"/>
          <w:sz w:val="24"/>
          <w:szCs w:val="24"/>
          <w:lang w:val="el-GR"/>
        </w:rPr>
        <w:t xml:space="preserve">Το 2016 ο δείκτης βρίσκεται στο ιδιαίτερα υψηλό επίπεδο του 46,4%, ενώ ακολουθεί μια σταδιακή αποκλιμάκωση έως το 2021, όταν διαμορφώνεται στο 34,4%. Ωστόσο, από το 2022 </w:t>
      </w:r>
      <w:r>
        <w:rPr>
          <w:rFonts w:ascii="Constantia" w:hAnsi="Constantia"/>
          <w:sz w:val="24"/>
          <w:szCs w:val="24"/>
          <w:lang w:val="el-GR"/>
        </w:rPr>
        <w:t>καταγράφεται</w:t>
      </w:r>
      <w:r w:rsidRPr="00AE1661">
        <w:rPr>
          <w:rFonts w:ascii="Constantia" w:hAnsi="Constantia"/>
          <w:sz w:val="24"/>
          <w:szCs w:val="24"/>
          <w:lang w:val="el-GR"/>
        </w:rPr>
        <w:t xml:space="preserve"> σημαντική αντιστροφή της τάσης, με τον δείκτη να αυξάνεται στο 40,3% το 2022 και να φτάνει στο 45,7% το 2023. Παρά τη μικρή υποχώρηση το 2024 (44,5%) και τη σταθεροποίηση το 2025 (44,6%), οι τιμές του δείκτη επανέρχονται στα δυσμενή επίπεδα του 2016.</w:t>
      </w:r>
    </w:p>
    <w:p w14:paraId="77958CF2" w14:textId="77777777" w:rsidR="007578C2" w:rsidRDefault="007578C2">
      <w:pPr>
        <w:spacing w:after="0" w:line="240" w:lineRule="auto"/>
        <w:rPr>
          <w:rFonts w:ascii="Constantia" w:hAnsi="Constantia"/>
          <w:sz w:val="24"/>
          <w:szCs w:val="24"/>
          <w:lang w:val="el-GR"/>
        </w:rPr>
      </w:pPr>
      <w:r>
        <w:rPr>
          <w:rFonts w:ascii="Constantia" w:hAnsi="Constantia"/>
          <w:sz w:val="24"/>
          <w:szCs w:val="24"/>
          <w:lang w:val="el-GR"/>
        </w:rPr>
        <w:br w:type="page"/>
      </w:r>
    </w:p>
    <w:p w14:paraId="537F19FE" w14:textId="4DCC5E57" w:rsidR="00412692" w:rsidRDefault="00412692" w:rsidP="000E37EE">
      <w:pPr>
        <w:pStyle w:val="a5"/>
        <w:spacing w:before="360" w:after="120"/>
        <w:ind w:left="567" w:right="566"/>
        <w:jc w:val="center"/>
        <w:rPr>
          <w:rFonts w:asciiTheme="majorHAnsi" w:hAnsiTheme="majorHAnsi" w:cstheme="majorHAnsi"/>
          <w:i w:val="0"/>
          <w:iCs w:val="0"/>
          <w:color w:val="1C6194" w:themeColor="accent2" w:themeShade="BF"/>
          <w:sz w:val="24"/>
          <w:szCs w:val="24"/>
          <w:lang w:val="el-GR"/>
        </w:rPr>
      </w:pPr>
      <w:bookmarkStart w:id="26" w:name="_Toc171592520"/>
      <w:bookmarkStart w:id="27" w:name="_Toc235457015"/>
      <w:r w:rsidRPr="00E37E37">
        <w:rPr>
          <w:rFonts w:asciiTheme="majorHAnsi" w:hAnsiTheme="majorHAnsi" w:cstheme="majorHAnsi"/>
          <w:b/>
          <w:bCs/>
          <w:i w:val="0"/>
          <w:iCs w:val="0"/>
          <w:color w:val="1C6194" w:themeColor="accent2" w:themeShade="BF"/>
          <w:sz w:val="24"/>
          <w:szCs w:val="24"/>
          <w:lang w:val="el-GR"/>
        </w:rPr>
        <w:t xml:space="preserve">Γράφημα </w:t>
      </w:r>
      <w:r w:rsidRPr="00E37E37">
        <w:rPr>
          <w:rFonts w:asciiTheme="majorHAnsi" w:hAnsiTheme="majorHAnsi" w:cstheme="majorHAnsi"/>
          <w:b/>
          <w:bCs/>
          <w:i w:val="0"/>
          <w:iCs w:val="0"/>
          <w:color w:val="1C6194" w:themeColor="accent2" w:themeShade="BF"/>
          <w:sz w:val="24"/>
          <w:szCs w:val="24"/>
        </w:rPr>
        <w:fldChar w:fldCharType="begin"/>
      </w:r>
      <w:r w:rsidRPr="00E37E37">
        <w:rPr>
          <w:rFonts w:asciiTheme="majorHAnsi" w:hAnsiTheme="majorHAnsi" w:cstheme="majorHAnsi"/>
          <w:b/>
          <w:bCs/>
          <w:i w:val="0"/>
          <w:iCs w:val="0"/>
          <w:color w:val="1C6194" w:themeColor="accent2" w:themeShade="BF"/>
          <w:sz w:val="24"/>
          <w:szCs w:val="24"/>
          <w:lang w:val="el-GR"/>
        </w:rPr>
        <w:instrText xml:space="preserve"> </w:instrText>
      </w:r>
      <w:r w:rsidRPr="00E37E37">
        <w:rPr>
          <w:rFonts w:asciiTheme="majorHAnsi" w:hAnsiTheme="majorHAnsi" w:cstheme="majorHAnsi"/>
          <w:b/>
          <w:bCs/>
          <w:i w:val="0"/>
          <w:iCs w:val="0"/>
          <w:color w:val="1C6194" w:themeColor="accent2" w:themeShade="BF"/>
          <w:sz w:val="24"/>
          <w:szCs w:val="24"/>
        </w:rPr>
        <w:instrText>SEQ</w:instrText>
      </w:r>
      <w:r w:rsidRPr="00E37E37">
        <w:rPr>
          <w:rFonts w:asciiTheme="majorHAnsi" w:hAnsiTheme="majorHAnsi" w:cstheme="majorHAnsi"/>
          <w:b/>
          <w:bCs/>
          <w:i w:val="0"/>
          <w:iCs w:val="0"/>
          <w:color w:val="1C6194" w:themeColor="accent2" w:themeShade="BF"/>
          <w:sz w:val="24"/>
          <w:szCs w:val="24"/>
          <w:lang w:val="el-GR"/>
        </w:rPr>
        <w:instrText xml:space="preserve"> Γράφημα \* </w:instrText>
      </w:r>
      <w:r w:rsidRPr="00E37E37">
        <w:rPr>
          <w:rFonts w:asciiTheme="majorHAnsi" w:hAnsiTheme="majorHAnsi" w:cstheme="majorHAnsi"/>
          <w:b/>
          <w:bCs/>
          <w:i w:val="0"/>
          <w:iCs w:val="0"/>
          <w:color w:val="1C6194" w:themeColor="accent2" w:themeShade="BF"/>
          <w:sz w:val="24"/>
          <w:szCs w:val="24"/>
        </w:rPr>
        <w:instrText>ARABIC</w:instrText>
      </w:r>
      <w:r w:rsidRPr="00E37E37">
        <w:rPr>
          <w:rFonts w:asciiTheme="majorHAnsi" w:hAnsiTheme="majorHAnsi" w:cstheme="majorHAnsi"/>
          <w:b/>
          <w:bCs/>
          <w:i w:val="0"/>
          <w:iCs w:val="0"/>
          <w:color w:val="1C6194" w:themeColor="accent2" w:themeShade="BF"/>
          <w:sz w:val="24"/>
          <w:szCs w:val="24"/>
          <w:lang w:val="el-GR"/>
        </w:rPr>
        <w:instrText xml:space="preserve"> </w:instrText>
      </w:r>
      <w:r w:rsidRPr="00E37E37">
        <w:rPr>
          <w:rFonts w:asciiTheme="majorHAnsi" w:hAnsiTheme="majorHAnsi" w:cstheme="majorHAnsi"/>
          <w:b/>
          <w:bCs/>
          <w:i w:val="0"/>
          <w:iCs w:val="0"/>
          <w:color w:val="1C6194" w:themeColor="accent2" w:themeShade="BF"/>
          <w:sz w:val="24"/>
          <w:szCs w:val="24"/>
        </w:rPr>
        <w:fldChar w:fldCharType="separate"/>
      </w:r>
      <w:r w:rsidRPr="00E37E37">
        <w:rPr>
          <w:rFonts w:asciiTheme="majorHAnsi" w:hAnsiTheme="majorHAnsi" w:cstheme="majorHAnsi"/>
          <w:b/>
          <w:bCs/>
          <w:i w:val="0"/>
          <w:iCs w:val="0"/>
          <w:noProof/>
          <w:color w:val="1C6194" w:themeColor="accent2" w:themeShade="BF"/>
          <w:sz w:val="24"/>
          <w:szCs w:val="24"/>
          <w:lang w:val="el-GR"/>
        </w:rPr>
        <w:t>5</w:t>
      </w:r>
      <w:r w:rsidRPr="00E37E37">
        <w:rPr>
          <w:rFonts w:asciiTheme="majorHAnsi" w:hAnsiTheme="majorHAnsi" w:cstheme="majorHAnsi"/>
          <w:b/>
          <w:bCs/>
          <w:i w:val="0"/>
          <w:iCs w:val="0"/>
          <w:color w:val="1C6194" w:themeColor="accent2" w:themeShade="BF"/>
          <w:sz w:val="24"/>
          <w:szCs w:val="24"/>
        </w:rPr>
        <w:fldChar w:fldCharType="end"/>
      </w:r>
      <w:r w:rsidRPr="00E37E37">
        <w:rPr>
          <w:rFonts w:asciiTheme="majorHAnsi" w:hAnsiTheme="majorHAnsi" w:cstheme="majorHAnsi"/>
          <w:i w:val="0"/>
          <w:iCs w:val="0"/>
          <w:color w:val="1C6194" w:themeColor="accent2" w:themeShade="BF"/>
          <w:sz w:val="24"/>
          <w:szCs w:val="24"/>
          <w:lang w:val="el-GR"/>
        </w:rPr>
        <w:t xml:space="preserve">. </w:t>
      </w:r>
      <w:bookmarkEnd w:id="26"/>
      <w:r w:rsidR="00E37E37" w:rsidRPr="00E37E37">
        <w:rPr>
          <w:rFonts w:asciiTheme="majorHAnsi" w:hAnsiTheme="majorHAnsi" w:cstheme="majorHAnsi"/>
          <w:i w:val="0"/>
          <w:iCs w:val="0"/>
          <w:color w:val="1C6194" w:themeColor="accent2" w:themeShade="BF"/>
          <w:sz w:val="24"/>
          <w:szCs w:val="24"/>
          <w:lang w:val="el-GR"/>
        </w:rPr>
        <w:t>Ποσοστό ατόμων με αναπηρία και ληξιπρόθεσμες οφειλές (στεγαστικό δάνειο ή ενοίκιο, λογαριασμοί κοινής ωφελείας ή αγορές με δόσεις)</w:t>
      </w:r>
      <w:bookmarkEnd w:id="27"/>
    </w:p>
    <w:p w14:paraId="2FBD1637" w14:textId="0409FFB8" w:rsidR="00E37E37" w:rsidRPr="00E37E37" w:rsidRDefault="00E37E37" w:rsidP="000E37EE">
      <w:pPr>
        <w:jc w:val="center"/>
        <w:rPr>
          <w:lang w:val="el-GR"/>
        </w:rPr>
      </w:pPr>
      <w:r w:rsidRPr="00E37E37">
        <w:rPr>
          <w:noProof/>
          <w:lang w:val="el-GR" w:eastAsia="el-GR"/>
        </w:rPr>
        <w:drawing>
          <wp:inline distT="0" distB="0" distL="0" distR="0" wp14:anchorId="0EA3F11E" wp14:editId="54B09886">
            <wp:extent cx="5076190" cy="3142770"/>
            <wp:effectExtent l="0" t="0" r="0" b="635"/>
            <wp:docPr id="1669970369" name="Γράφημα 1" descr="46,4% το 2016. &#10;42,8% το 2017. &#10;38,5% το 2018. &#10;38,6% το 2019. &#10;35,2% το 2020. &#10;34,4% το 2021. &#10;40,3% το 2022. &#10;45,7% το 2023. &#10;44,5% το 2024. &#10;44,6% το 2025.">
              <a:extLst xmlns:a="http://schemas.openxmlformats.org/drawingml/2006/main">
                <a:ext uri="{FF2B5EF4-FFF2-40B4-BE49-F238E27FC236}">
                  <a16:creationId xmlns:a16="http://schemas.microsoft.com/office/drawing/2014/main" id="{0F038640-16C8-0C6B-0127-64389D36C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6695A3A" w14:textId="7CBC1467" w:rsidR="00412692" w:rsidRPr="00E37E37" w:rsidRDefault="00412692" w:rsidP="00412692">
      <w:pPr>
        <w:pStyle w:val="a5"/>
        <w:jc w:val="center"/>
        <w:rPr>
          <w:rFonts w:asciiTheme="majorHAnsi" w:hAnsiTheme="majorHAnsi" w:cstheme="majorHAnsi"/>
          <w:color w:val="1C6194" w:themeColor="accent2" w:themeShade="BF"/>
          <w:lang w:val="el-GR"/>
        </w:rPr>
      </w:pPr>
      <w:r w:rsidRPr="00E37E37">
        <w:rPr>
          <w:rFonts w:asciiTheme="majorHAnsi" w:hAnsiTheme="majorHAnsi" w:cstheme="majorHAnsi"/>
          <w:b/>
          <w:bCs/>
          <w:color w:val="1C6194" w:themeColor="accent2" w:themeShade="BF"/>
          <w:lang w:val="el-GR"/>
        </w:rPr>
        <w:t>Πηγή</w:t>
      </w:r>
      <w:r w:rsidRPr="00E37E37">
        <w:rPr>
          <w:rFonts w:asciiTheme="majorHAnsi" w:hAnsiTheme="majorHAnsi" w:cstheme="majorHAnsi"/>
          <w:color w:val="1C6194" w:themeColor="accent2" w:themeShade="BF"/>
          <w:lang w:val="el-GR"/>
        </w:rPr>
        <w:t xml:space="preserve">: </w:t>
      </w:r>
      <w:r w:rsidR="00E37E37" w:rsidRPr="00E37E37">
        <w:rPr>
          <w:rFonts w:asciiTheme="majorHAnsi" w:hAnsiTheme="majorHAnsi" w:cstheme="majorHAnsi"/>
          <w:color w:val="1C6194" w:themeColor="accent2" w:themeShade="BF"/>
        </w:rPr>
        <w:t>Eurostat</w:t>
      </w:r>
      <w:r w:rsidR="00B45D0B">
        <w:rPr>
          <w:rFonts w:asciiTheme="majorHAnsi" w:hAnsiTheme="majorHAnsi" w:cstheme="majorHAnsi"/>
          <w:color w:val="1C6194" w:themeColor="accent2" w:themeShade="BF"/>
          <w:lang w:val="el-GR"/>
        </w:rPr>
        <w:t xml:space="preserve"> </w:t>
      </w:r>
      <w:r w:rsidRPr="00E37E37">
        <w:rPr>
          <w:rFonts w:asciiTheme="majorHAnsi" w:hAnsiTheme="majorHAnsi" w:cstheme="majorHAnsi"/>
          <w:color w:val="1C6194" w:themeColor="accent2" w:themeShade="BF"/>
          <w:lang w:val="el-GR"/>
        </w:rPr>
        <w:t xml:space="preserve">/ </w:t>
      </w:r>
      <w:r w:rsidRPr="00E37E37">
        <w:rPr>
          <w:rFonts w:asciiTheme="majorHAnsi" w:hAnsiTheme="majorHAnsi" w:cstheme="majorHAnsi"/>
          <w:b/>
          <w:bCs/>
          <w:color w:val="1C6194" w:themeColor="accent2" w:themeShade="BF"/>
          <w:lang w:val="el-GR"/>
        </w:rPr>
        <w:t>Επεξεργασία δεδομένων</w:t>
      </w:r>
      <w:r w:rsidRPr="00E37E37">
        <w:rPr>
          <w:rFonts w:asciiTheme="majorHAnsi" w:hAnsiTheme="majorHAnsi" w:cstheme="majorHAnsi"/>
          <w:color w:val="1C6194" w:themeColor="accent2" w:themeShade="BF"/>
          <w:lang w:val="el-GR"/>
        </w:rPr>
        <w:t>: Εθνική Συνομοσπονδία Ατόμων με Αναπηρία</w:t>
      </w:r>
      <w:r w:rsidR="00B45D0B">
        <w:rPr>
          <w:rFonts w:asciiTheme="majorHAnsi" w:hAnsiTheme="majorHAnsi" w:cstheme="majorHAnsi"/>
          <w:color w:val="1C6194" w:themeColor="accent2" w:themeShade="BF"/>
          <w:lang w:val="el-GR"/>
        </w:rPr>
        <w:t xml:space="preserve"> (</w:t>
      </w:r>
      <w:r w:rsidRPr="00E37E37">
        <w:rPr>
          <w:rFonts w:asciiTheme="majorHAnsi" w:hAnsiTheme="majorHAnsi" w:cstheme="majorHAnsi"/>
          <w:color w:val="1C6194" w:themeColor="accent2" w:themeShade="BF"/>
          <w:lang w:val="el-GR"/>
        </w:rPr>
        <w:t>ΕΣΑμεΑ</w:t>
      </w:r>
      <w:r w:rsidR="00B45D0B">
        <w:rPr>
          <w:rFonts w:asciiTheme="majorHAnsi" w:hAnsiTheme="majorHAnsi" w:cstheme="majorHAnsi"/>
          <w:color w:val="1C6194" w:themeColor="accent2" w:themeShade="BF"/>
          <w:lang w:val="el-GR"/>
        </w:rPr>
        <w:t>)</w:t>
      </w:r>
    </w:p>
    <w:p w14:paraId="636142EC" w14:textId="03178FA9" w:rsidR="007578C2" w:rsidRDefault="007578C2">
      <w:pPr>
        <w:spacing w:after="0" w:line="240" w:lineRule="auto"/>
        <w:rPr>
          <w:rFonts w:ascii="Constantia" w:hAnsi="Constantia"/>
          <w:sz w:val="24"/>
          <w:szCs w:val="24"/>
          <w:lang w:val="el-GR"/>
        </w:rPr>
      </w:pPr>
      <w:bookmarkStart w:id="28" w:name="_Hlk165371552"/>
      <w:bookmarkStart w:id="29" w:name="_Hlk165285339"/>
      <w:r>
        <w:rPr>
          <w:rFonts w:ascii="Constantia" w:hAnsi="Constantia"/>
          <w:sz w:val="24"/>
          <w:szCs w:val="24"/>
          <w:lang w:val="el-GR"/>
        </w:rPr>
        <w:br w:type="page"/>
      </w:r>
    </w:p>
    <w:p w14:paraId="036D6789" w14:textId="1049C787" w:rsidR="00AE1661" w:rsidRPr="002E31F3" w:rsidRDefault="00AE1661" w:rsidP="00A62D5B">
      <w:pPr>
        <w:pStyle w:val="10"/>
        <w:spacing w:after="360"/>
        <w:ind w:left="431" w:hanging="431"/>
        <w:rPr>
          <w:b/>
          <w:bCs/>
          <w:color w:val="auto"/>
          <w:lang w:val="el-GR"/>
        </w:rPr>
      </w:pPr>
      <w:bookmarkStart w:id="30" w:name="_Toc235457009"/>
      <w:r w:rsidRPr="002E31F3">
        <w:rPr>
          <w:b/>
          <w:bCs/>
          <w:color w:val="auto"/>
          <w:lang w:val="el-GR"/>
        </w:rPr>
        <w:t xml:space="preserve">Δυνατότητα για ικανοποιητική θέρμανση και ενεργειακή αναβάθμιση </w:t>
      </w:r>
      <w:r w:rsidR="00B45D0B" w:rsidRPr="002E31F3">
        <w:rPr>
          <w:b/>
          <w:bCs/>
          <w:color w:val="auto"/>
          <w:lang w:val="el-GR"/>
        </w:rPr>
        <w:t>κατοικίας</w:t>
      </w:r>
      <w:bookmarkEnd w:id="30"/>
    </w:p>
    <w:p w14:paraId="055737BB" w14:textId="77FBFE89" w:rsidR="00AE1661" w:rsidRDefault="00AE1661" w:rsidP="007578C2">
      <w:pPr>
        <w:jc w:val="both"/>
        <w:rPr>
          <w:rFonts w:ascii="Constantia" w:hAnsi="Constantia"/>
          <w:sz w:val="24"/>
          <w:szCs w:val="24"/>
          <w:lang w:val="el-GR"/>
        </w:rPr>
      </w:pPr>
      <w:r w:rsidRPr="00FA27A4">
        <w:rPr>
          <w:rFonts w:ascii="Constantia" w:hAnsi="Constantia"/>
          <w:sz w:val="24"/>
          <w:szCs w:val="24"/>
          <w:lang w:val="el-GR"/>
        </w:rPr>
        <w:t xml:space="preserve">Το γράφημα </w:t>
      </w:r>
      <w:r>
        <w:rPr>
          <w:rFonts w:ascii="Constantia" w:hAnsi="Constantia"/>
          <w:sz w:val="24"/>
          <w:szCs w:val="24"/>
          <w:lang w:val="el-GR"/>
        </w:rPr>
        <w:t xml:space="preserve">6 </w:t>
      </w:r>
      <w:r w:rsidRPr="00FA27A4">
        <w:rPr>
          <w:rFonts w:ascii="Constantia" w:hAnsi="Constantia"/>
          <w:sz w:val="24"/>
          <w:szCs w:val="24"/>
          <w:lang w:val="el-GR"/>
        </w:rPr>
        <w:t>παρουσιάζει τη</w:t>
      </w:r>
      <w:r>
        <w:rPr>
          <w:rFonts w:ascii="Constantia" w:hAnsi="Constantia"/>
          <w:sz w:val="24"/>
          <w:szCs w:val="24"/>
          <w:lang w:val="el-GR"/>
        </w:rPr>
        <w:t xml:space="preserve"> διαχρονική </w:t>
      </w:r>
      <w:r w:rsidRPr="00FA27A4">
        <w:rPr>
          <w:rFonts w:ascii="Constantia" w:hAnsi="Constantia"/>
          <w:sz w:val="24"/>
          <w:szCs w:val="24"/>
          <w:lang w:val="el-GR"/>
        </w:rPr>
        <w:t xml:space="preserve">εξέλιξη του </w:t>
      </w:r>
      <w:r w:rsidRPr="00AE1661">
        <w:rPr>
          <w:rFonts w:ascii="Constantia" w:hAnsi="Constantia"/>
          <w:sz w:val="24"/>
          <w:szCs w:val="24"/>
          <w:lang w:val="el-GR"/>
        </w:rPr>
        <w:t>ποσοστού των ατόμων με αναπηρία (16 ετών +)που δηλώνουν αδυναμία να διατηρήσουν το σπίτι τους επαρκώς ζεστό κατά τους χειμερινούς μήνες</w:t>
      </w:r>
      <w:r w:rsidRPr="00FA27A4">
        <w:rPr>
          <w:rFonts w:ascii="Constantia" w:hAnsi="Constantia"/>
          <w:sz w:val="24"/>
          <w:szCs w:val="24"/>
          <w:lang w:val="el-GR"/>
        </w:rPr>
        <w:t xml:space="preserve">. Ο δείκτης αυτός αποτελεί σημαντική διάσταση της </w:t>
      </w:r>
      <w:r w:rsidRPr="00AE1661">
        <w:rPr>
          <w:rFonts w:ascii="Constantia" w:hAnsi="Constantia"/>
          <w:sz w:val="24"/>
          <w:szCs w:val="24"/>
          <w:lang w:val="el-GR"/>
        </w:rPr>
        <w:t>ενεργειακής φτώχειας</w:t>
      </w:r>
      <w:r w:rsidRPr="00FA27A4">
        <w:rPr>
          <w:rFonts w:ascii="Constantia" w:hAnsi="Constantia"/>
          <w:sz w:val="24"/>
          <w:szCs w:val="24"/>
          <w:lang w:val="el-GR"/>
        </w:rPr>
        <w:t xml:space="preserve"> και συνδέεται άμεσα με την ποιότητα και την οικονομική προσιτότητα της στέγασης. </w:t>
      </w:r>
      <w:r>
        <w:rPr>
          <w:rFonts w:ascii="Constantia" w:hAnsi="Constantia"/>
          <w:sz w:val="24"/>
          <w:szCs w:val="24"/>
          <w:lang w:val="el-GR"/>
        </w:rPr>
        <w:t>Η</w:t>
      </w:r>
      <w:r w:rsidRPr="00FA27A4">
        <w:rPr>
          <w:rFonts w:ascii="Constantia" w:hAnsi="Constantia"/>
          <w:sz w:val="24"/>
          <w:szCs w:val="24"/>
          <w:lang w:val="el-GR"/>
        </w:rPr>
        <w:t xml:space="preserve"> αδυναμία επαρκούς θέρμανσης αποτελεί ένδειξη ευρύτερης στεγαστικής και οικονομικής </w:t>
      </w:r>
      <w:r>
        <w:rPr>
          <w:rFonts w:ascii="Constantia" w:hAnsi="Constantia"/>
          <w:sz w:val="24"/>
          <w:szCs w:val="24"/>
          <w:lang w:val="el-GR"/>
        </w:rPr>
        <w:t>δυσχέρειας και ιδιαίτερα για τα άτομα με αναπηρία ή και χρόνιες παθήσεις που συχνά είναι περισσότερο ευάλωτα στις περιβαλλοντικές συνθήκες.</w:t>
      </w:r>
    </w:p>
    <w:p w14:paraId="7E01C44A" w14:textId="5667A72E" w:rsidR="00AE1661" w:rsidRDefault="00AE1661" w:rsidP="007578C2">
      <w:pPr>
        <w:jc w:val="both"/>
        <w:rPr>
          <w:rFonts w:ascii="Constantia" w:hAnsi="Constantia"/>
          <w:sz w:val="24"/>
          <w:szCs w:val="24"/>
          <w:lang w:val="el-GR"/>
        </w:rPr>
      </w:pPr>
      <w:r>
        <w:rPr>
          <w:rFonts w:ascii="Constantia" w:hAnsi="Constantia"/>
          <w:sz w:val="24"/>
          <w:szCs w:val="24"/>
          <w:lang w:val="el-GR"/>
        </w:rPr>
        <w:t>Παρότι το</w:t>
      </w:r>
      <w:r w:rsidRPr="00FA27A4">
        <w:rPr>
          <w:rFonts w:ascii="Constantia" w:hAnsi="Constantia"/>
          <w:sz w:val="24"/>
          <w:szCs w:val="24"/>
          <w:lang w:val="el-GR"/>
        </w:rPr>
        <w:t xml:space="preserve"> ποσοστό των ατόμων με αναπηρία που αντιμετωπίζουν αδυναμία επαρκούς θέρμανσης της κατοικίας τους παρουσιάζει </w:t>
      </w:r>
      <w:r>
        <w:rPr>
          <w:rFonts w:ascii="Constantia" w:hAnsi="Constantia"/>
          <w:sz w:val="24"/>
          <w:szCs w:val="24"/>
          <w:lang w:val="el-GR"/>
        </w:rPr>
        <w:t>σ</w:t>
      </w:r>
      <w:r w:rsidRPr="00FA27A4">
        <w:rPr>
          <w:rFonts w:ascii="Constantia" w:hAnsi="Constantia"/>
          <w:sz w:val="24"/>
          <w:szCs w:val="24"/>
          <w:lang w:val="el-GR"/>
        </w:rPr>
        <w:t>υνολικ</w:t>
      </w:r>
      <w:r>
        <w:rPr>
          <w:rFonts w:ascii="Constantia" w:hAnsi="Constantia"/>
          <w:sz w:val="24"/>
          <w:szCs w:val="24"/>
          <w:lang w:val="el-GR"/>
        </w:rPr>
        <w:t>ή</w:t>
      </w:r>
      <w:r w:rsidRPr="00FA27A4">
        <w:rPr>
          <w:rFonts w:ascii="Constantia" w:hAnsi="Constantia"/>
          <w:sz w:val="24"/>
          <w:szCs w:val="24"/>
          <w:lang w:val="el-GR"/>
        </w:rPr>
        <w:t xml:space="preserve"> μείωση κατά 1</w:t>
      </w:r>
      <w:r>
        <w:rPr>
          <w:rFonts w:ascii="Constantia" w:hAnsi="Constantia"/>
          <w:sz w:val="24"/>
          <w:szCs w:val="24"/>
          <w:lang w:val="el-GR"/>
        </w:rPr>
        <w:t xml:space="preserve">1 </w:t>
      </w:r>
      <w:r w:rsidRPr="00FA27A4">
        <w:rPr>
          <w:rFonts w:ascii="Constantia" w:hAnsi="Constantia"/>
          <w:sz w:val="24"/>
          <w:szCs w:val="24"/>
          <w:lang w:val="el-GR"/>
        </w:rPr>
        <w:t xml:space="preserve">ποσοστιαίες μονάδες κατά την </w:t>
      </w:r>
      <w:r>
        <w:rPr>
          <w:rFonts w:ascii="Constantia" w:hAnsi="Constantia"/>
          <w:sz w:val="24"/>
          <w:szCs w:val="24"/>
          <w:lang w:val="el-GR"/>
        </w:rPr>
        <w:t xml:space="preserve">εξεταζόμενη </w:t>
      </w:r>
      <w:r w:rsidRPr="00FA27A4">
        <w:rPr>
          <w:rFonts w:ascii="Constantia" w:hAnsi="Constantia"/>
          <w:sz w:val="24"/>
          <w:szCs w:val="24"/>
          <w:lang w:val="el-GR"/>
        </w:rPr>
        <w:t>περίοδο</w:t>
      </w:r>
      <w:r>
        <w:rPr>
          <w:rFonts w:ascii="Constantia" w:hAnsi="Constantia"/>
          <w:sz w:val="24"/>
          <w:szCs w:val="24"/>
          <w:lang w:val="el-GR"/>
        </w:rPr>
        <w:t>, το 2025 το ¼ του πληθυσμού των ατόμων με αναπηρία αδυνατεί να έχει ικανοποιητική θέρμανση στην κατοικία του.</w:t>
      </w:r>
    </w:p>
    <w:p w14:paraId="24D45667" w14:textId="618581FA" w:rsidR="00AE1661" w:rsidRDefault="00AE1661" w:rsidP="007578C2">
      <w:pPr>
        <w:jc w:val="both"/>
        <w:rPr>
          <w:rFonts w:ascii="Constantia" w:hAnsi="Constantia"/>
          <w:sz w:val="24"/>
          <w:szCs w:val="24"/>
          <w:lang w:val="el-GR"/>
        </w:rPr>
      </w:pPr>
      <w:r>
        <w:rPr>
          <w:rFonts w:ascii="Constantia" w:hAnsi="Constantia"/>
          <w:sz w:val="24"/>
          <w:szCs w:val="24"/>
          <w:lang w:val="el-GR"/>
        </w:rPr>
        <w:t xml:space="preserve">Στην αρχή της εξεταζόμενης περιόδου, </w:t>
      </w:r>
      <w:r w:rsidRPr="00FA27A4">
        <w:rPr>
          <w:rFonts w:ascii="Constantia" w:hAnsi="Constantia"/>
          <w:sz w:val="24"/>
          <w:szCs w:val="24"/>
          <w:lang w:val="el-GR"/>
        </w:rPr>
        <w:t>το 2016</w:t>
      </w:r>
      <w:r>
        <w:rPr>
          <w:rFonts w:ascii="Constantia" w:hAnsi="Constantia"/>
          <w:sz w:val="24"/>
          <w:szCs w:val="24"/>
          <w:lang w:val="el-GR"/>
        </w:rPr>
        <w:t>,</w:t>
      </w:r>
      <w:r w:rsidRPr="00FA27A4">
        <w:rPr>
          <w:rFonts w:ascii="Constantia" w:hAnsi="Constantia"/>
          <w:sz w:val="24"/>
          <w:szCs w:val="24"/>
          <w:lang w:val="el-GR"/>
        </w:rPr>
        <w:t xml:space="preserve"> το ποσοστό </w:t>
      </w:r>
      <w:r>
        <w:rPr>
          <w:rFonts w:ascii="Constantia" w:hAnsi="Constantia"/>
          <w:sz w:val="24"/>
          <w:szCs w:val="24"/>
          <w:lang w:val="el-GR"/>
        </w:rPr>
        <w:t xml:space="preserve">των ατόμων με αναπηρία και μη επαρκή θέρμανση </w:t>
      </w:r>
      <w:r w:rsidRPr="00FA27A4">
        <w:rPr>
          <w:rFonts w:ascii="Constantia" w:hAnsi="Constantia"/>
          <w:sz w:val="24"/>
          <w:szCs w:val="24"/>
          <w:lang w:val="el-GR"/>
        </w:rPr>
        <w:t>ανέρχεται στο 36,3%, ενώ μειώνεται σταδιακά τα επόμενα έτη, φτάνοντας στο χαμηλότερο επίπεδο το 2021 (22,5%).</w:t>
      </w:r>
    </w:p>
    <w:p w14:paraId="0103694A" w14:textId="77777777" w:rsidR="00AE1661" w:rsidRPr="00FA27A4" w:rsidRDefault="00AE1661" w:rsidP="007578C2">
      <w:pPr>
        <w:jc w:val="both"/>
        <w:rPr>
          <w:rFonts w:ascii="Constantia" w:hAnsi="Constantia"/>
          <w:sz w:val="24"/>
          <w:szCs w:val="24"/>
          <w:lang w:val="el-GR"/>
        </w:rPr>
      </w:pPr>
      <w:r>
        <w:rPr>
          <w:rFonts w:ascii="Constantia" w:hAnsi="Constantia"/>
          <w:sz w:val="24"/>
          <w:szCs w:val="24"/>
          <w:lang w:val="el-GR"/>
        </w:rPr>
        <w:t>Ωστόσο, α</w:t>
      </w:r>
      <w:r w:rsidRPr="00FA27A4">
        <w:rPr>
          <w:rFonts w:ascii="Constantia" w:hAnsi="Constantia"/>
          <w:sz w:val="24"/>
          <w:szCs w:val="24"/>
          <w:lang w:val="el-GR"/>
        </w:rPr>
        <w:t xml:space="preserve">πό το 2022 και μετά, παρατηρείται </w:t>
      </w:r>
      <w:r>
        <w:rPr>
          <w:rFonts w:ascii="Constantia" w:hAnsi="Constantia"/>
          <w:sz w:val="24"/>
          <w:szCs w:val="24"/>
          <w:lang w:val="el-GR"/>
        </w:rPr>
        <w:t xml:space="preserve">και σε αυτόν τον δείκτη </w:t>
      </w:r>
      <w:r w:rsidRPr="00FA27A4">
        <w:rPr>
          <w:rFonts w:ascii="Constantia" w:hAnsi="Constantia"/>
          <w:sz w:val="24"/>
          <w:szCs w:val="24"/>
          <w:lang w:val="el-GR"/>
        </w:rPr>
        <w:t xml:space="preserve">αντιστροφή της </w:t>
      </w:r>
      <w:r>
        <w:rPr>
          <w:rFonts w:ascii="Constantia" w:hAnsi="Constantia"/>
          <w:sz w:val="24"/>
          <w:szCs w:val="24"/>
          <w:lang w:val="el-GR"/>
        </w:rPr>
        <w:t xml:space="preserve">προηγούμενης </w:t>
      </w:r>
      <w:r w:rsidRPr="00FA27A4">
        <w:rPr>
          <w:rFonts w:ascii="Constantia" w:hAnsi="Constantia"/>
          <w:sz w:val="24"/>
          <w:szCs w:val="24"/>
          <w:lang w:val="el-GR"/>
        </w:rPr>
        <w:t xml:space="preserve">τάσης, με το ποσοστό να αυξάνεται εκ νέου και </w:t>
      </w:r>
      <w:r>
        <w:rPr>
          <w:rFonts w:ascii="Constantia" w:hAnsi="Constantia"/>
          <w:sz w:val="24"/>
          <w:szCs w:val="24"/>
          <w:lang w:val="el-GR"/>
        </w:rPr>
        <w:t xml:space="preserve">τελικά </w:t>
      </w:r>
      <w:r w:rsidRPr="00FA27A4">
        <w:rPr>
          <w:rFonts w:ascii="Constantia" w:hAnsi="Constantia"/>
          <w:sz w:val="24"/>
          <w:szCs w:val="24"/>
          <w:lang w:val="el-GR"/>
        </w:rPr>
        <w:t xml:space="preserve">να διαμορφώνεται στο 25,2% το 2025. Παρότι το επίπεδο αυτό παραμένει χαμηλότερο από το αντίστοιχο του 2016, η επάνοδος σε υψηλότερες τιμές μετά το 2021 </w:t>
      </w:r>
      <w:r>
        <w:rPr>
          <w:rFonts w:ascii="Constantia" w:hAnsi="Constantia"/>
          <w:sz w:val="24"/>
          <w:szCs w:val="24"/>
          <w:lang w:val="el-GR"/>
        </w:rPr>
        <w:t xml:space="preserve">αποτυπώνει το αποτέλεσμα των </w:t>
      </w:r>
      <w:r w:rsidRPr="00FA27A4">
        <w:rPr>
          <w:rFonts w:ascii="Constantia" w:hAnsi="Constantia"/>
          <w:sz w:val="24"/>
          <w:szCs w:val="24"/>
          <w:lang w:val="el-GR"/>
        </w:rPr>
        <w:t xml:space="preserve">νέων </w:t>
      </w:r>
      <w:r>
        <w:rPr>
          <w:rFonts w:ascii="Constantia" w:hAnsi="Constantia"/>
          <w:sz w:val="24"/>
          <w:szCs w:val="24"/>
          <w:lang w:val="el-GR"/>
        </w:rPr>
        <w:t xml:space="preserve">πληθωριστικών </w:t>
      </w:r>
      <w:r w:rsidRPr="00FA27A4">
        <w:rPr>
          <w:rFonts w:ascii="Constantia" w:hAnsi="Constantia"/>
          <w:sz w:val="24"/>
          <w:szCs w:val="24"/>
          <w:lang w:val="el-GR"/>
        </w:rPr>
        <w:t>πιέσεων στην οικονομική δυνατότητα των νοικοκυριών να ανταποκριθούν στο κόστος ενέργειας.</w:t>
      </w:r>
    </w:p>
    <w:p w14:paraId="7AEAF460" w14:textId="59D82DBC" w:rsidR="00AE1661" w:rsidRDefault="00AE1661" w:rsidP="007578C2">
      <w:pPr>
        <w:jc w:val="both"/>
        <w:rPr>
          <w:rFonts w:ascii="Constantia" w:hAnsi="Constantia"/>
          <w:sz w:val="24"/>
          <w:szCs w:val="24"/>
          <w:lang w:val="el-GR"/>
        </w:rPr>
      </w:pPr>
      <w:r w:rsidRPr="00FA27A4">
        <w:rPr>
          <w:rFonts w:ascii="Constantia" w:hAnsi="Constantia"/>
          <w:sz w:val="24"/>
          <w:szCs w:val="24"/>
          <w:lang w:val="el-GR"/>
        </w:rPr>
        <w:t>Σε συνδυασμό με τους δείκτες στεγαστικής επιβάρυνσης και ληξιπρόθεσμων οφειλών, η εξέλιξη του συγκεκριμένου δείκτη αναδεικνύει ότι η στεγαστική δυσχέρεια δεν περιορίζεται μόνο στο κόστος απόκτησης ή διατήρησης της κατοικίας, αλλά επεκτείνεται και στη δυνατότητα κάλυψης βασικών ενεργειακών αναγκών.</w:t>
      </w:r>
    </w:p>
    <w:p w14:paraId="73BD24E9" w14:textId="555F5DF0" w:rsidR="00B45D0B" w:rsidRDefault="00B45D0B">
      <w:pPr>
        <w:spacing w:after="0" w:line="240" w:lineRule="auto"/>
        <w:rPr>
          <w:rFonts w:ascii="Constantia" w:hAnsi="Constantia"/>
          <w:sz w:val="24"/>
          <w:szCs w:val="24"/>
          <w:highlight w:val="yellow"/>
          <w:lang w:val="el-GR"/>
        </w:rPr>
      </w:pPr>
      <w:r>
        <w:rPr>
          <w:rFonts w:ascii="Constantia" w:hAnsi="Constantia"/>
          <w:sz w:val="24"/>
          <w:szCs w:val="24"/>
          <w:highlight w:val="yellow"/>
          <w:lang w:val="el-GR"/>
        </w:rPr>
        <w:br w:type="page"/>
      </w:r>
    </w:p>
    <w:p w14:paraId="240DCB6C" w14:textId="77777777" w:rsidR="00991D92" w:rsidRDefault="00412692" w:rsidP="00AE1661">
      <w:pPr>
        <w:pStyle w:val="a5"/>
        <w:spacing w:before="240" w:after="0"/>
        <w:jc w:val="center"/>
        <w:rPr>
          <w:rFonts w:asciiTheme="majorHAnsi" w:hAnsiTheme="majorHAnsi" w:cstheme="majorHAnsi"/>
          <w:i w:val="0"/>
          <w:iCs w:val="0"/>
          <w:color w:val="1C6194" w:themeColor="accent2" w:themeShade="BF"/>
          <w:sz w:val="24"/>
          <w:szCs w:val="24"/>
          <w:lang w:val="el-GR"/>
        </w:rPr>
      </w:pPr>
      <w:bookmarkStart w:id="31" w:name="_Toc171592521"/>
      <w:bookmarkStart w:id="32" w:name="_Toc235457016"/>
      <w:bookmarkEnd w:id="28"/>
      <w:r w:rsidRPr="00AE1661">
        <w:rPr>
          <w:rFonts w:asciiTheme="majorHAnsi" w:hAnsiTheme="majorHAnsi" w:cstheme="majorHAnsi"/>
          <w:b/>
          <w:bCs/>
          <w:i w:val="0"/>
          <w:iCs w:val="0"/>
          <w:color w:val="1C6194" w:themeColor="accent2" w:themeShade="BF"/>
          <w:sz w:val="24"/>
          <w:szCs w:val="24"/>
          <w:lang w:val="el-GR"/>
        </w:rPr>
        <w:t xml:space="preserve">Γράφημα </w:t>
      </w:r>
      <w:r w:rsidRPr="00AE1661">
        <w:rPr>
          <w:rFonts w:asciiTheme="majorHAnsi" w:hAnsiTheme="majorHAnsi" w:cstheme="majorHAnsi"/>
          <w:b/>
          <w:bCs/>
          <w:i w:val="0"/>
          <w:iCs w:val="0"/>
          <w:color w:val="1C6194" w:themeColor="accent2" w:themeShade="BF"/>
          <w:sz w:val="24"/>
          <w:szCs w:val="24"/>
          <w:lang w:val="el-GR"/>
        </w:rPr>
        <w:fldChar w:fldCharType="begin"/>
      </w:r>
      <w:r w:rsidRPr="00AE1661">
        <w:rPr>
          <w:rFonts w:asciiTheme="majorHAnsi" w:hAnsiTheme="majorHAnsi" w:cstheme="majorHAnsi"/>
          <w:b/>
          <w:bCs/>
          <w:i w:val="0"/>
          <w:iCs w:val="0"/>
          <w:color w:val="1C6194" w:themeColor="accent2" w:themeShade="BF"/>
          <w:sz w:val="24"/>
          <w:szCs w:val="24"/>
          <w:lang w:val="el-GR"/>
        </w:rPr>
        <w:instrText xml:space="preserve"> SEQ Γράφημα \* ARABIC </w:instrText>
      </w:r>
      <w:r w:rsidRPr="00AE1661">
        <w:rPr>
          <w:rFonts w:asciiTheme="majorHAnsi" w:hAnsiTheme="majorHAnsi" w:cstheme="majorHAnsi"/>
          <w:b/>
          <w:bCs/>
          <w:i w:val="0"/>
          <w:iCs w:val="0"/>
          <w:color w:val="1C6194" w:themeColor="accent2" w:themeShade="BF"/>
          <w:sz w:val="24"/>
          <w:szCs w:val="24"/>
          <w:lang w:val="el-GR"/>
        </w:rPr>
        <w:fldChar w:fldCharType="separate"/>
      </w:r>
      <w:r w:rsidRPr="00AE1661">
        <w:rPr>
          <w:rFonts w:asciiTheme="majorHAnsi" w:hAnsiTheme="majorHAnsi" w:cstheme="majorHAnsi"/>
          <w:b/>
          <w:bCs/>
          <w:i w:val="0"/>
          <w:iCs w:val="0"/>
          <w:noProof/>
          <w:color w:val="1C6194" w:themeColor="accent2" w:themeShade="BF"/>
          <w:sz w:val="24"/>
          <w:szCs w:val="24"/>
          <w:lang w:val="el-GR"/>
        </w:rPr>
        <w:t>6</w:t>
      </w:r>
      <w:r w:rsidRPr="00AE1661">
        <w:rPr>
          <w:rFonts w:asciiTheme="majorHAnsi" w:hAnsiTheme="majorHAnsi" w:cstheme="majorHAnsi"/>
          <w:b/>
          <w:bCs/>
          <w:i w:val="0"/>
          <w:iCs w:val="0"/>
          <w:color w:val="1C6194" w:themeColor="accent2" w:themeShade="BF"/>
          <w:sz w:val="24"/>
          <w:szCs w:val="24"/>
          <w:lang w:val="el-GR"/>
        </w:rPr>
        <w:fldChar w:fldCharType="end"/>
      </w:r>
      <w:r w:rsidRPr="00AE1661">
        <w:rPr>
          <w:rFonts w:asciiTheme="majorHAnsi" w:hAnsiTheme="majorHAnsi" w:cstheme="majorHAnsi"/>
          <w:i w:val="0"/>
          <w:iCs w:val="0"/>
          <w:color w:val="1C6194" w:themeColor="accent2" w:themeShade="BF"/>
          <w:sz w:val="24"/>
          <w:szCs w:val="24"/>
          <w:lang w:val="el-GR"/>
        </w:rPr>
        <w:t xml:space="preserve">. </w:t>
      </w:r>
      <w:bookmarkEnd w:id="31"/>
      <w:r w:rsidR="00AE1661" w:rsidRPr="00AE1661">
        <w:rPr>
          <w:rFonts w:asciiTheme="majorHAnsi" w:hAnsiTheme="majorHAnsi" w:cstheme="majorHAnsi"/>
          <w:i w:val="0"/>
          <w:iCs w:val="0"/>
          <w:color w:val="1C6194" w:themeColor="accent2" w:themeShade="BF"/>
          <w:sz w:val="24"/>
          <w:szCs w:val="24"/>
          <w:lang w:val="el-GR"/>
        </w:rPr>
        <w:t>Ποσοστό ατόμων με αναπηρία (16+) και αδυναμία ικανοποιητικής θέρμανσης του σπιτιού τους χειμερινούς μήνες</w:t>
      </w:r>
      <w:bookmarkEnd w:id="32"/>
    </w:p>
    <w:p w14:paraId="33F5A93C" w14:textId="430B5021" w:rsidR="00AE1661" w:rsidRPr="00AE1661" w:rsidRDefault="00AE1661" w:rsidP="00AE1661">
      <w:pPr>
        <w:pStyle w:val="a5"/>
        <w:spacing w:before="240" w:after="0"/>
        <w:jc w:val="center"/>
        <w:rPr>
          <w:lang w:val="el-GR"/>
        </w:rPr>
      </w:pPr>
      <w:r w:rsidRPr="00AE1661">
        <w:rPr>
          <w:noProof/>
          <w:lang w:val="el-GR" w:eastAsia="el-GR"/>
        </w:rPr>
        <w:drawing>
          <wp:inline distT="0" distB="0" distL="0" distR="0" wp14:anchorId="71B61E99" wp14:editId="42271D86">
            <wp:extent cx="5088576" cy="2731325"/>
            <wp:effectExtent l="0" t="0" r="0" b="0"/>
            <wp:docPr id="1722773801" name="Γράφημα 1" descr="36,3% το 2016.&#10;33,6% το 2017.&#10;28,8% το 2018.&#10;24,3% το 2019.&#10;23,8% το 2020.&#10;22,5% το 2021.&#10;24,8% το 2022.&#10;25,3% το 2023.&#10;24,5% το 2024.&#10;25,2% το 2025.">
              <a:extLst xmlns:a="http://schemas.openxmlformats.org/drawingml/2006/main">
                <a:ext uri="{FF2B5EF4-FFF2-40B4-BE49-F238E27FC236}">
                  <a16:creationId xmlns:a16="http://schemas.microsoft.com/office/drawing/2014/main" id="{D5F3B776-2F95-DFA7-4FA9-7F4525B56F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15D7CEA" w14:textId="44F95181" w:rsidR="00412692" w:rsidRPr="00AE1661" w:rsidRDefault="00412692" w:rsidP="00412692">
      <w:pPr>
        <w:pStyle w:val="a5"/>
        <w:jc w:val="center"/>
        <w:rPr>
          <w:rFonts w:asciiTheme="majorHAnsi" w:hAnsiTheme="majorHAnsi" w:cstheme="majorHAnsi"/>
          <w:color w:val="1C6194" w:themeColor="accent2" w:themeShade="BF"/>
          <w:lang w:val="el-GR"/>
        </w:rPr>
      </w:pPr>
      <w:r w:rsidRPr="00AE1661">
        <w:rPr>
          <w:rFonts w:asciiTheme="majorHAnsi" w:hAnsiTheme="majorHAnsi" w:cstheme="majorHAnsi"/>
          <w:b/>
          <w:bCs/>
          <w:color w:val="1C6194" w:themeColor="accent2" w:themeShade="BF"/>
          <w:lang w:val="el-GR"/>
        </w:rPr>
        <w:t>Πηγή</w:t>
      </w:r>
      <w:r w:rsidRPr="00AE1661">
        <w:rPr>
          <w:rFonts w:asciiTheme="majorHAnsi" w:hAnsiTheme="majorHAnsi" w:cstheme="majorHAnsi"/>
          <w:color w:val="1C6194" w:themeColor="accent2" w:themeShade="BF"/>
          <w:lang w:val="el-GR"/>
        </w:rPr>
        <w:t xml:space="preserve">: Στοιχεία </w:t>
      </w:r>
      <w:r w:rsidR="00AE1661" w:rsidRPr="00AE1661">
        <w:rPr>
          <w:rFonts w:asciiTheme="majorHAnsi" w:hAnsiTheme="majorHAnsi" w:cstheme="majorHAnsi"/>
          <w:color w:val="1C6194" w:themeColor="accent2" w:themeShade="BF"/>
        </w:rPr>
        <w:t>Eurostat</w:t>
      </w:r>
      <w:r w:rsidRPr="00AE1661">
        <w:rPr>
          <w:rFonts w:asciiTheme="majorHAnsi" w:hAnsiTheme="majorHAnsi" w:cstheme="majorHAnsi"/>
          <w:color w:val="1C6194" w:themeColor="accent2" w:themeShade="BF"/>
          <w:lang w:val="el-GR"/>
        </w:rPr>
        <w:t xml:space="preserve"> / </w:t>
      </w:r>
      <w:r w:rsidRPr="00AE1661">
        <w:rPr>
          <w:rFonts w:asciiTheme="majorHAnsi" w:hAnsiTheme="majorHAnsi" w:cstheme="majorHAnsi"/>
          <w:b/>
          <w:bCs/>
          <w:color w:val="1C6194" w:themeColor="accent2" w:themeShade="BF"/>
          <w:lang w:val="el-GR"/>
        </w:rPr>
        <w:t>Επεξεργασία δεδομένων</w:t>
      </w:r>
      <w:r w:rsidRPr="00AE1661">
        <w:rPr>
          <w:rFonts w:asciiTheme="majorHAnsi" w:hAnsiTheme="majorHAnsi" w:cstheme="majorHAnsi"/>
          <w:color w:val="1C6194" w:themeColor="accent2" w:themeShade="BF"/>
          <w:lang w:val="el-GR"/>
        </w:rPr>
        <w:t>: Εθνική Συνομοσπονδία Ατόμων με Αναπηρία</w:t>
      </w:r>
      <w:r w:rsidR="00B45D0B">
        <w:rPr>
          <w:rFonts w:asciiTheme="majorHAnsi" w:hAnsiTheme="majorHAnsi" w:cstheme="majorHAnsi"/>
          <w:color w:val="1C6194" w:themeColor="accent2" w:themeShade="BF"/>
          <w:lang w:val="el-GR"/>
        </w:rPr>
        <w:t xml:space="preserve"> (</w:t>
      </w:r>
      <w:r w:rsidRPr="00AE1661">
        <w:rPr>
          <w:rFonts w:asciiTheme="majorHAnsi" w:hAnsiTheme="majorHAnsi" w:cstheme="majorHAnsi"/>
          <w:color w:val="1C6194" w:themeColor="accent2" w:themeShade="BF"/>
          <w:lang w:val="el-GR"/>
        </w:rPr>
        <w:t>ΕΣΑμεΑ</w:t>
      </w:r>
      <w:r w:rsidR="00B45D0B">
        <w:rPr>
          <w:rFonts w:asciiTheme="majorHAnsi" w:hAnsiTheme="majorHAnsi" w:cstheme="majorHAnsi"/>
          <w:color w:val="1C6194" w:themeColor="accent2" w:themeShade="BF"/>
          <w:lang w:val="el-GR"/>
        </w:rPr>
        <w:t>)</w:t>
      </w:r>
    </w:p>
    <w:p w14:paraId="536DEDE4" w14:textId="158906F4" w:rsidR="00AE1661" w:rsidRPr="00B31F97" w:rsidRDefault="00AE1661" w:rsidP="00661F60">
      <w:pPr>
        <w:spacing w:before="360"/>
        <w:jc w:val="both"/>
        <w:rPr>
          <w:rFonts w:ascii="Constantia" w:eastAsia="Times New Roman" w:hAnsi="Constantia" w:cs="Times New Roman"/>
          <w:color w:val="000000"/>
          <w:sz w:val="24"/>
          <w:szCs w:val="24"/>
          <w:lang w:val="el-GR" w:eastAsia="el-GR"/>
        </w:rPr>
      </w:pPr>
      <w:bookmarkStart w:id="33" w:name="_Toc171592522"/>
      <w:bookmarkEnd w:id="29"/>
      <w:r>
        <w:rPr>
          <w:rFonts w:ascii="Constantia" w:eastAsia="Times New Roman" w:hAnsi="Constantia" w:cs="Times New Roman"/>
          <w:color w:val="000000"/>
          <w:sz w:val="24"/>
          <w:szCs w:val="24"/>
          <w:lang w:val="el-GR" w:eastAsia="el-GR"/>
        </w:rPr>
        <w:t>Στο ερώτημα εάν έχουν πραγματοποιήσει μ</w:t>
      </w:r>
      <w:r w:rsidRPr="004C491A">
        <w:rPr>
          <w:rFonts w:ascii="Constantia" w:eastAsia="Times New Roman" w:hAnsi="Constantia" w:cs="Times New Roman"/>
          <w:color w:val="000000"/>
          <w:sz w:val="24"/>
          <w:szCs w:val="24"/>
          <w:lang w:val="el-GR" w:eastAsia="el-GR"/>
        </w:rPr>
        <w:t xml:space="preserve">έτρα βελτίωσης της ενεργειακής απόδοσης της κύριας κατοικίας </w:t>
      </w:r>
      <w:r>
        <w:rPr>
          <w:rFonts w:ascii="Constantia" w:eastAsia="Times New Roman" w:hAnsi="Constantia" w:cs="Times New Roman"/>
          <w:color w:val="000000"/>
          <w:sz w:val="24"/>
          <w:szCs w:val="24"/>
          <w:lang w:val="el-GR" w:eastAsia="el-GR"/>
        </w:rPr>
        <w:t>τους</w:t>
      </w:r>
      <w:r w:rsidRPr="004C491A">
        <w:rPr>
          <w:rFonts w:ascii="Constantia" w:eastAsia="Times New Roman" w:hAnsi="Constantia" w:cs="Times New Roman"/>
          <w:color w:val="000000"/>
          <w:sz w:val="24"/>
          <w:szCs w:val="24"/>
          <w:lang w:val="el-GR" w:eastAsia="el-GR"/>
        </w:rPr>
        <w:t xml:space="preserve"> που αφορούν στη (θερμο)μόνωση, στα παράθυρα (τζάμια) ή στο σύστημα θέρμανσης / ψύξης</w:t>
      </w:r>
      <w:r>
        <w:rPr>
          <w:rFonts w:ascii="Constantia" w:eastAsia="Times New Roman" w:hAnsi="Constantia" w:cs="Times New Roman"/>
          <w:color w:val="000000"/>
          <w:sz w:val="24"/>
          <w:szCs w:val="24"/>
          <w:lang w:val="el-GR" w:eastAsia="el-GR"/>
        </w:rPr>
        <w:t xml:space="preserve"> τα τελευταία 5 χρόνια, τ</w:t>
      </w:r>
      <w:r w:rsidRPr="00B31F97">
        <w:rPr>
          <w:rFonts w:ascii="Constantia" w:eastAsia="Times New Roman" w:hAnsi="Constantia" w:cs="Times New Roman"/>
          <w:color w:val="000000"/>
          <w:sz w:val="24"/>
          <w:szCs w:val="24"/>
          <w:lang w:val="el-GR" w:eastAsia="el-GR"/>
        </w:rPr>
        <w:t>ο ποσοστό όσων απαντούν θετικά υπολογίστηκε σε 9,6% τόσο στα άτομα με αναπηρία όσο και στα άτομα χωρίς αναπηρία.</w:t>
      </w:r>
    </w:p>
    <w:p w14:paraId="5B85115C" w14:textId="440B7DB6" w:rsidR="00AE1661" w:rsidRPr="00AE1661" w:rsidRDefault="00AE1661" w:rsidP="007578C2">
      <w:pPr>
        <w:jc w:val="both"/>
        <w:rPr>
          <w:rFonts w:ascii="Constantia" w:eastAsia="Times New Roman" w:hAnsi="Constantia" w:cs="Times New Roman"/>
          <w:color w:val="000000"/>
          <w:sz w:val="24"/>
          <w:szCs w:val="24"/>
          <w:lang w:val="el-GR" w:eastAsia="el-GR"/>
        </w:rPr>
      </w:pPr>
      <w:r>
        <w:rPr>
          <w:rFonts w:ascii="Constantia" w:eastAsia="Times New Roman" w:hAnsi="Constantia" w:cs="Times New Roman"/>
          <w:color w:val="000000"/>
          <w:sz w:val="24"/>
          <w:szCs w:val="24"/>
          <w:lang w:val="el-GR" w:eastAsia="el-GR"/>
        </w:rPr>
        <w:t xml:space="preserve">Ωστόσο, λαμβάνοντας υπόψη τη διάσταση της αναπηρίας </w:t>
      </w:r>
      <w:r w:rsidRPr="00B31F97">
        <w:rPr>
          <w:rFonts w:ascii="Constantia" w:eastAsia="Times New Roman" w:hAnsi="Constantia" w:cs="Times New Roman"/>
          <w:color w:val="000000"/>
          <w:sz w:val="24"/>
          <w:szCs w:val="24"/>
          <w:lang w:val="el-GR" w:eastAsia="el-GR"/>
        </w:rPr>
        <w:t>παρατηρείται σημαντική απόκλιση ως προς την ανάγκη για παρεμβάσεις που δεν έχουν πραγματοποιηθεί.</w:t>
      </w:r>
      <w:r>
        <w:rPr>
          <w:rFonts w:ascii="Constantia" w:eastAsia="Times New Roman" w:hAnsi="Constantia" w:cs="Times New Roman"/>
          <w:color w:val="000000"/>
          <w:sz w:val="24"/>
          <w:szCs w:val="24"/>
          <w:lang w:val="el-GR" w:eastAsia="el-GR"/>
        </w:rPr>
        <w:t xml:space="preserve"> </w:t>
      </w:r>
      <w:r w:rsidRPr="00B31F97">
        <w:rPr>
          <w:rFonts w:ascii="Constantia" w:eastAsia="Times New Roman" w:hAnsi="Constantia" w:cs="Times New Roman"/>
          <w:color w:val="000000"/>
          <w:sz w:val="24"/>
          <w:szCs w:val="24"/>
          <w:lang w:val="el-GR" w:eastAsia="el-GR"/>
        </w:rPr>
        <w:t>Ειδικότερα, το 47% των ατόμων με αναπηρία δηλών</w:t>
      </w:r>
      <w:r>
        <w:rPr>
          <w:rFonts w:ascii="Constantia" w:eastAsia="Times New Roman" w:hAnsi="Constantia" w:cs="Times New Roman"/>
          <w:color w:val="000000"/>
          <w:sz w:val="24"/>
          <w:szCs w:val="24"/>
          <w:lang w:val="el-GR" w:eastAsia="el-GR"/>
        </w:rPr>
        <w:t>ουν</w:t>
      </w:r>
      <w:r w:rsidRPr="00B31F97">
        <w:rPr>
          <w:rFonts w:ascii="Constantia" w:eastAsia="Times New Roman" w:hAnsi="Constantia" w:cs="Times New Roman"/>
          <w:color w:val="000000"/>
          <w:sz w:val="24"/>
          <w:szCs w:val="24"/>
          <w:lang w:val="el-GR" w:eastAsia="el-GR"/>
        </w:rPr>
        <w:t xml:space="preserve"> ότι δεν έχουν πραγματοποιηθεί παρεμβάσεις ενεργειακής βελτίωσης στην κατοικία </w:t>
      </w:r>
      <w:r>
        <w:rPr>
          <w:rFonts w:ascii="Constantia" w:eastAsia="Times New Roman" w:hAnsi="Constantia" w:cs="Times New Roman"/>
          <w:color w:val="000000"/>
          <w:sz w:val="24"/>
          <w:szCs w:val="24"/>
          <w:lang w:val="el-GR" w:eastAsia="el-GR"/>
        </w:rPr>
        <w:t>τους παρότι αυτές είναι αναγκαίες</w:t>
      </w:r>
      <w:r w:rsidRPr="00B31F97">
        <w:rPr>
          <w:rFonts w:ascii="Constantia" w:eastAsia="Times New Roman" w:hAnsi="Constantia" w:cs="Times New Roman"/>
          <w:color w:val="000000"/>
          <w:sz w:val="24"/>
          <w:szCs w:val="24"/>
          <w:lang w:val="el-GR" w:eastAsia="el-GR"/>
        </w:rPr>
        <w:t xml:space="preserve">, έναντι </w:t>
      </w:r>
      <w:r>
        <w:rPr>
          <w:rFonts w:ascii="Constantia" w:eastAsia="Times New Roman" w:hAnsi="Constantia" w:cs="Times New Roman"/>
          <w:color w:val="000000"/>
          <w:sz w:val="24"/>
          <w:szCs w:val="24"/>
          <w:lang w:val="el-GR" w:eastAsia="el-GR"/>
        </w:rPr>
        <w:t xml:space="preserve">ποσοστού </w:t>
      </w:r>
      <w:r w:rsidRPr="00B31F97">
        <w:rPr>
          <w:rFonts w:ascii="Constantia" w:eastAsia="Times New Roman" w:hAnsi="Constantia" w:cs="Times New Roman"/>
          <w:color w:val="000000"/>
          <w:sz w:val="24"/>
          <w:szCs w:val="24"/>
          <w:lang w:val="el-GR" w:eastAsia="el-GR"/>
        </w:rPr>
        <w:t>35,6% των ατόμων χωρίς αναπηρία</w:t>
      </w:r>
      <w:r>
        <w:rPr>
          <w:rFonts w:ascii="Constantia" w:eastAsia="Times New Roman" w:hAnsi="Constantia" w:cs="Times New Roman"/>
          <w:color w:val="000000"/>
          <w:sz w:val="24"/>
          <w:szCs w:val="24"/>
          <w:lang w:val="el-GR" w:eastAsia="el-GR"/>
        </w:rPr>
        <w:t xml:space="preserve"> που βρίσκονται στην ίδια συνθήκη.</w:t>
      </w:r>
    </w:p>
    <w:bookmarkEnd w:id="33"/>
    <w:p w14:paraId="72754DD1" w14:textId="36133D98" w:rsidR="00AE1661" w:rsidRPr="00AE1661" w:rsidRDefault="00AE1661" w:rsidP="00661F60">
      <w:pPr>
        <w:pStyle w:val="a5"/>
        <w:keepNext/>
        <w:spacing w:before="360"/>
        <w:jc w:val="both"/>
        <w:rPr>
          <w:lang w:val="el-GR"/>
        </w:rPr>
      </w:pPr>
      <w:r w:rsidRPr="00AE1661">
        <w:rPr>
          <w:rFonts w:asciiTheme="majorHAnsi" w:hAnsiTheme="majorHAnsi" w:cstheme="majorHAnsi"/>
          <w:b/>
          <w:bCs/>
          <w:i w:val="0"/>
          <w:iCs w:val="0"/>
          <w:color w:val="1C6194" w:themeColor="accent2" w:themeShade="BF"/>
          <w:sz w:val="24"/>
          <w:szCs w:val="24"/>
          <w:lang w:val="el-GR"/>
        </w:rPr>
        <w:t xml:space="preserve">Πίνακας </w:t>
      </w:r>
      <w:r w:rsidRPr="00AE1661">
        <w:rPr>
          <w:rFonts w:asciiTheme="majorHAnsi" w:hAnsiTheme="majorHAnsi" w:cstheme="majorHAnsi"/>
          <w:b/>
          <w:bCs/>
          <w:i w:val="0"/>
          <w:iCs w:val="0"/>
          <w:color w:val="1C6194" w:themeColor="accent2" w:themeShade="BF"/>
          <w:sz w:val="24"/>
          <w:szCs w:val="24"/>
          <w:lang w:val="el-GR"/>
        </w:rPr>
        <w:fldChar w:fldCharType="begin"/>
      </w:r>
      <w:r w:rsidRPr="00AE1661">
        <w:rPr>
          <w:rFonts w:asciiTheme="majorHAnsi" w:hAnsiTheme="majorHAnsi" w:cstheme="majorHAnsi"/>
          <w:b/>
          <w:bCs/>
          <w:i w:val="0"/>
          <w:iCs w:val="0"/>
          <w:color w:val="1C6194" w:themeColor="accent2" w:themeShade="BF"/>
          <w:sz w:val="24"/>
          <w:szCs w:val="24"/>
          <w:lang w:val="el-GR"/>
        </w:rPr>
        <w:instrText xml:space="preserve"> SEQ Πίνακας \* ARABIC </w:instrText>
      </w:r>
      <w:r w:rsidRPr="00AE1661">
        <w:rPr>
          <w:rFonts w:asciiTheme="majorHAnsi" w:hAnsiTheme="majorHAnsi" w:cstheme="majorHAnsi"/>
          <w:b/>
          <w:bCs/>
          <w:i w:val="0"/>
          <w:iCs w:val="0"/>
          <w:color w:val="1C6194" w:themeColor="accent2" w:themeShade="BF"/>
          <w:sz w:val="24"/>
          <w:szCs w:val="24"/>
          <w:lang w:val="el-GR"/>
        </w:rPr>
        <w:fldChar w:fldCharType="separate"/>
      </w:r>
      <w:r w:rsidRPr="00AE1661">
        <w:rPr>
          <w:rFonts w:asciiTheme="majorHAnsi" w:hAnsiTheme="majorHAnsi" w:cstheme="majorHAnsi"/>
          <w:b/>
          <w:bCs/>
          <w:i w:val="0"/>
          <w:iCs w:val="0"/>
          <w:color w:val="1C6194" w:themeColor="accent2" w:themeShade="BF"/>
          <w:sz w:val="24"/>
          <w:szCs w:val="24"/>
          <w:lang w:val="el-GR"/>
        </w:rPr>
        <w:t>1</w:t>
      </w:r>
      <w:r w:rsidRPr="00AE1661">
        <w:rPr>
          <w:rFonts w:asciiTheme="majorHAnsi" w:hAnsiTheme="majorHAnsi" w:cstheme="majorHAnsi"/>
          <w:b/>
          <w:bCs/>
          <w:i w:val="0"/>
          <w:iCs w:val="0"/>
          <w:color w:val="1C6194" w:themeColor="accent2" w:themeShade="BF"/>
          <w:sz w:val="24"/>
          <w:szCs w:val="24"/>
          <w:lang w:val="el-GR"/>
        </w:rPr>
        <w:fldChar w:fldCharType="end"/>
      </w:r>
      <w:r w:rsidRPr="00AE1661">
        <w:rPr>
          <w:rFonts w:asciiTheme="majorHAnsi" w:hAnsiTheme="majorHAnsi" w:cstheme="majorHAnsi"/>
          <w:b/>
          <w:bCs/>
          <w:i w:val="0"/>
          <w:iCs w:val="0"/>
          <w:color w:val="1C6194" w:themeColor="accent2" w:themeShade="BF"/>
          <w:sz w:val="24"/>
          <w:szCs w:val="24"/>
          <w:lang w:val="el-GR"/>
        </w:rPr>
        <w:t>:</w:t>
      </w:r>
      <w:r w:rsidRPr="00AE1661">
        <w:rPr>
          <w:rFonts w:ascii="Constantia" w:eastAsia="Times New Roman" w:hAnsi="Constantia" w:cs="Times New Roman"/>
          <w:color w:val="000000"/>
          <w:sz w:val="24"/>
          <w:szCs w:val="24"/>
          <w:lang w:val="el-GR" w:eastAsia="el-GR"/>
        </w:rPr>
        <w:t xml:space="preserve"> </w:t>
      </w:r>
      <w:r w:rsidRPr="00AE1661">
        <w:rPr>
          <w:rFonts w:asciiTheme="majorHAnsi" w:hAnsiTheme="majorHAnsi" w:cstheme="majorHAnsi"/>
          <w:i w:val="0"/>
          <w:iCs w:val="0"/>
          <w:color w:val="1C6194" w:themeColor="accent2" w:themeShade="BF"/>
          <w:sz w:val="24"/>
          <w:szCs w:val="24"/>
          <w:lang w:val="el-GR"/>
        </w:rPr>
        <w:t>Μέτρα βελτίωσης της ενεργειακής απόδοσης της κύριας κατοικίας τα τελευταία 5 χρόνια</w:t>
      </w:r>
    </w:p>
    <w:tbl>
      <w:tblPr>
        <w:tblW w:w="8505" w:type="dxa"/>
        <w:tblLayout w:type="fixed"/>
        <w:tblLook w:val="04A0" w:firstRow="1" w:lastRow="0" w:firstColumn="1" w:lastColumn="0" w:noHBand="0" w:noVBand="1"/>
      </w:tblPr>
      <w:tblGrid>
        <w:gridCol w:w="2552"/>
        <w:gridCol w:w="1488"/>
        <w:gridCol w:w="1488"/>
        <w:gridCol w:w="1488"/>
        <w:gridCol w:w="1489"/>
      </w:tblGrid>
      <w:tr w:rsidR="00AE1661" w:rsidRPr="00AE1661" w14:paraId="5702EA70" w14:textId="77777777" w:rsidTr="00661F60">
        <w:trPr>
          <w:trHeight w:val="330"/>
        </w:trPr>
        <w:tc>
          <w:tcPr>
            <w:tcW w:w="2552" w:type="dxa"/>
            <w:tcBorders>
              <w:bottom w:val="single" w:sz="4" w:space="0" w:color="auto"/>
            </w:tcBorders>
            <w:shd w:val="clear" w:color="auto" w:fill="F2F2F2" w:themeFill="background1" w:themeFillShade="F2"/>
            <w:noWrap/>
            <w:vAlign w:val="bottom"/>
            <w:hideMark/>
          </w:tcPr>
          <w:p w14:paraId="4A20D4DE" w14:textId="6A9C81C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p>
        </w:tc>
        <w:tc>
          <w:tcPr>
            <w:tcW w:w="1488" w:type="dxa"/>
            <w:tcBorders>
              <w:bottom w:val="single" w:sz="4" w:space="0" w:color="auto"/>
            </w:tcBorders>
            <w:shd w:val="clear" w:color="auto" w:fill="F2F2F2" w:themeFill="background1" w:themeFillShade="F2"/>
            <w:noWrap/>
            <w:vAlign w:val="bottom"/>
            <w:hideMark/>
          </w:tcPr>
          <w:p w14:paraId="68931513" w14:textId="77777777" w:rsidR="00AE1661" w:rsidRPr="007578C2" w:rsidRDefault="00AE1661" w:rsidP="007578C2">
            <w:pPr>
              <w:spacing w:before="60" w:after="120" w:line="240" w:lineRule="auto"/>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Ναι</w:t>
            </w:r>
          </w:p>
        </w:tc>
        <w:tc>
          <w:tcPr>
            <w:tcW w:w="1488" w:type="dxa"/>
            <w:tcBorders>
              <w:bottom w:val="single" w:sz="4" w:space="0" w:color="auto"/>
            </w:tcBorders>
            <w:shd w:val="clear" w:color="auto" w:fill="F2F2F2" w:themeFill="background1" w:themeFillShade="F2"/>
            <w:noWrap/>
            <w:vAlign w:val="bottom"/>
            <w:hideMark/>
          </w:tcPr>
          <w:p w14:paraId="6D9C5E3B" w14:textId="77777777" w:rsidR="00AE1661" w:rsidRPr="007578C2" w:rsidRDefault="00AE1661" w:rsidP="007578C2">
            <w:pPr>
              <w:spacing w:before="60" w:after="120" w:line="240" w:lineRule="auto"/>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Όχι, ενώ χρειαζόταν</w:t>
            </w:r>
          </w:p>
        </w:tc>
        <w:tc>
          <w:tcPr>
            <w:tcW w:w="1488" w:type="dxa"/>
            <w:tcBorders>
              <w:bottom w:val="single" w:sz="4" w:space="0" w:color="auto"/>
            </w:tcBorders>
            <w:shd w:val="clear" w:color="auto" w:fill="F2F2F2" w:themeFill="background1" w:themeFillShade="F2"/>
            <w:noWrap/>
            <w:vAlign w:val="bottom"/>
            <w:hideMark/>
          </w:tcPr>
          <w:p w14:paraId="22D7DF97" w14:textId="77777777" w:rsidR="00AE1661" w:rsidRPr="007578C2" w:rsidRDefault="00AE1661" w:rsidP="007578C2">
            <w:pPr>
              <w:spacing w:before="60" w:after="120" w:line="240" w:lineRule="auto"/>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Όχι και δεν χρειαζόταν</w:t>
            </w:r>
          </w:p>
        </w:tc>
        <w:tc>
          <w:tcPr>
            <w:tcW w:w="1489" w:type="dxa"/>
            <w:tcBorders>
              <w:bottom w:val="single" w:sz="4" w:space="0" w:color="auto"/>
            </w:tcBorders>
            <w:shd w:val="clear" w:color="auto" w:fill="F2F2F2" w:themeFill="background1" w:themeFillShade="F2"/>
            <w:noWrap/>
            <w:vAlign w:val="bottom"/>
            <w:hideMark/>
          </w:tcPr>
          <w:p w14:paraId="4EA97BE5" w14:textId="77777777" w:rsidR="00AE1661" w:rsidRPr="007578C2" w:rsidRDefault="00AE1661" w:rsidP="007578C2">
            <w:pPr>
              <w:spacing w:before="60" w:after="120" w:line="240" w:lineRule="auto"/>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Δεν γνωρίζω</w:t>
            </w:r>
          </w:p>
        </w:tc>
      </w:tr>
      <w:tr w:rsidR="00AE1661" w:rsidRPr="00AE1661" w14:paraId="5B6F9EE4" w14:textId="77777777" w:rsidTr="00661F60">
        <w:trPr>
          <w:trHeight w:val="330"/>
        </w:trPr>
        <w:tc>
          <w:tcPr>
            <w:tcW w:w="2552" w:type="dxa"/>
            <w:tcBorders>
              <w:top w:val="single" w:sz="4" w:space="0" w:color="auto"/>
              <w:bottom w:val="single" w:sz="4" w:space="0" w:color="auto"/>
            </w:tcBorders>
            <w:noWrap/>
            <w:vAlign w:val="bottom"/>
            <w:hideMark/>
          </w:tcPr>
          <w:p w14:paraId="25E8BA42" w14:textId="77777777" w:rsidR="00AE1661" w:rsidRPr="007578C2" w:rsidRDefault="00AE1661" w:rsidP="007578C2">
            <w:pPr>
              <w:spacing w:before="60" w:after="60" w:line="240" w:lineRule="auto"/>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Άτομα με αναπηρία</w:t>
            </w:r>
          </w:p>
        </w:tc>
        <w:tc>
          <w:tcPr>
            <w:tcW w:w="1488" w:type="dxa"/>
            <w:tcBorders>
              <w:top w:val="single" w:sz="4" w:space="0" w:color="auto"/>
              <w:bottom w:val="single" w:sz="4" w:space="0" w:color="auto"/>
            </w:tcBorders>
            <w:noWrap/>
            <w:vAlign w:val="bottom"/>
            <w:hideMark/>
          </w:tcPr>
          <w:p w14:paraId="6C3E3B35"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9,6%</w:t>
            </w:r>
          </w:p>
        </w:tc>
        <w:tc>
          <w:tcPr>
            <w:tcW w:w="1488" w:type="dxa"/>
            <w:tcBorders>
              <w:top w:val="single" w:sz="4" w:space="0" w:color="auto"/>
              <w:bottom w:val="single" w:sz="4" w:space="0" w:color="auto"/>
            </w:tcBorders>
            <w:noWrap/>
            <w:vAlign w:val="bottom"/>
            <w:hideMark/>
          </w:tcPr>
          <w:p w14:paraId="2A725A2A"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47,0%</w:t>
            </w:r>
          </w:p>
        </w:tc>
        <w:tc>
          <w:tcPr>
            <w:tcW w:w="1488" w:type="dxa"/>
            <w:tcBorders>
              <w:top w:val="single" w:sz="4" w:space="0" w:color="auto"/>
              <w:bottom w:val="single" w:sz="4" w:space="0" w:color="auto"/>
            </w:tcBorders>
            <w:noWrap/>
            <w:vAlign w:val="bottom"/>
            <w:hideMark/>
          </w:tcPr>
          <w:p w14:paraId="7FF9C51C"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40,9%</w:t>
            </w:r>
          </w:p>
        </w:tc>
        <w:tc>
          <w:tcPr>
            <w:tcW w:w="1489" w:type="dxa"/>
            <w:tcBorders>
              <w:top w:val="single" w:sz="4" w:space="0" w:color="auto"/>
              <w:bottom w:val="single" w:sz="4" w:space="0" w:color="auto"/>
            </w:tcBorders>
            <w:noWrap/>
            <w:vAlign w:val="bottom"/>
            <w:hideMark/>
          </w:tcPr>
          <w:p w14:paraId="2C0BCACB"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2,5%</w:t>
            </w:r>
          </w:p>
        </w:tc>
      </w:tr>
      <w:tr w:rsidR="00AE1661" w:rsidRPr="00AE1661" w14:paraId="256B3421" w14:textId="77777777" w:rsidTr="00661F60">
        <w:trPr>
          <w:trHeight w:val="311"/>
        </w:trPr>
        <w:tc>
          <w:tcPr>
            <w:tcW w:w="2552" w:type="dxa"/>
            <w:tcBorders>
              <w:top w:val="single" w:sz="4" w:space="0" w:color="auto"/>
              <w:bottom w:val="single" w:sz="4" w:space="0" w:color="auto"/>
            </w:tcBorders>
            <w:noWrap/>
            <w:vAlign w:val="bottom"/>
            <w:hideMark/>
          </w:tcPr>
          <w:p w14:paraId="642F862A" w14:textId="77777777" w:rsidR="00AE1661" w:rsidRPr="007578C2" w:rsidRDefault="00AE1661" w:rsidP="007578C2">
            <w:pPr>
              <w:spacing w:before="60" w:after="60" w:line="240" w:lineRule="auto"/>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Άτομα χωρίς αναπηρία</w:t>
            </w:r>
          </w:p>
        </w:tc>
        <w:tc>
          <w:tcPr>
            <w:tcW w:w="1488" w:type="dxa"/>
            <w:tcBorders>
              <w:top w:val="single" w:sz="4" w:space="0" w:color="auto"/>
              <w:bottom w:val="single" w:sz="4" w:space="0" w:color="auto"/>
            </w:tcBorders>
            <w:noWrap/>
            <w:vAlign w:val="bottom"/>
            <w:hideMark/>
          </w:tcPr>
          <w:p w14:paraId="0E3AE455"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9,6%</w:t>
            </w:r>
          </w:p>
        </w:tc>
        <w:tc>
          <w:tcPr>
            <w:tcW w:w="1488" w:type="dxa"/>
            <w:tcBorders>
              <w:top w:val="single" w:sz="4" w:space="0" w:color="auto"/>
              <w:bottom w:val="single" w:sz="4" w:space="0" w:color="auto"/>
            </w:tcBorders>
            <w:noWrap/>
            <w:vAlign w:val="bottom"/>
            <w:hideMark/>
          </w:tcPr>
          <w:p w14:paraId="04565A03"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35,6%</w:t>
            </w:r>
          </w:p>
        </w:tc>
        <w:tc>
          <w:tcPr>
            <w:tcW w:w="1488" w:type="dxa"/>
            <w:tcBorders>
              <w:top w:val="single" w:sz="4" w:space="0" w:color="auto"/>
              <w:bottom w:val="single" w:sz="4" w:space="0" w:color="auto"/>
            </w:tcBorders>
            <w:noWrap/>
            <w:vAlign w:val="bottom"/>
            <w:hideMark/>
          </w:tcPr>
          <w:p w14:paraId="7FC7E35A"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48,8%</w:t>
            </w:r>
          </w:p>
        </w:tc>
        <w:tc>
          <w:tcPr>
            <w:tcW w:w="1489" w:type="dxa"/>
            <w:tcBorders>
              <w:top w:val="single" w:sz="4" w:space="0" w:color="auto"/>
              <w:bottom w:val="single" w:sz="4" w:space="0" w:color="auto"/>
            </w:tcBorders>
            <w:noWrap/>
            <w:vAlign w:val="bottom"/>
            <w:hideMark/>
          </w:tcPr>
          <w:p w14:paraId="3269F1BA" w14:textId="77777777" w:rsidR="00AE1661" w:rsidRPr="007578C2" w:rsidRDefault="00AE1661" w:rsidP="007578C2">
            <w:pPr>
              <w:spacing w:before="60" w:after="60" w:line="240" w:lineRule="auto"/>
              <w:jc w:val="both"/>
              <w:rPr>
                <w:rFonts w:ascii="Arial Narrow" w:eastAsia="Times New Roman" w:hAnsi="Arial Narrow" w:cs="Times New Roman"/>
                <w:color w:val="000000"/>
                <w:sz w:val="24"/>
                <w:szCs w:val="24"/>
                <w:lang w:val="el-GR" w:eastAsia="el-GR"/>
              </w:rPr>
            </w:pPr>
            <w:r w:rsidRPr="007578C2">
              <w:rPr>
                <w:rFonts w:ascii="Arial Narrow" w:eastAsia="Times New Roman" w:hAnsi="Arial Narrow" w:cs="Times New Roman"/>
                <w:color w:val="000000"/>
                <w:sz w:val="24"/>
                <w:szCs w:val="24"/>
                <w:lang w:val="el-GR" w:eastAsia="el-GR"/>
              </w:rPr>
              <w:t>6,0%</w:t>
            </w:r>
          </w:p>
        </w:tc>
      </w:tr>
    </w:tbl>
    <w:p w14:paraId="13C35063" w14:textId="2EE97586" w:rsidR="007578C2" w:rsidRPr="002E31F3" w:rsidRDefault="007578C2" w:rsidP="007578C2">
      <w:pPr>
        <w:pStyle w:val="a5"/>
        <w:spacing w:before="120"/>
        <w:jc w:val="center"/>
        <w:rPr>
          <w:rFonts w:asciiTheme="majorHAnsi" w:hAnsiTheme="majorHAnsi" w:cstheme="majorHAnsi"/>
          <w:color w:val="1C6194" w:themeColor="accent2" w:themeShade="BF"/>
          <w:lang w:val="el-GR"/>
        </w:rPr>
      </w:pPr>
      <w:bookmarkStart w:id="34" w:name="_Toc171592523"/>
      <w:r w:rsidRPr="001274E9">
        <w:rPr>
          <w:rFonts w:asciiTheme="majorHAnsi" w:hAnsiTheme="majorHAnsi" w:cstheme="majorHAnsi"/>
          <w:b/>
          <w:bCs/>
          <w:color w:val="1C6194" w:themeColor="accent2" w:themeShade="BF"/>
          <w:lang w:val="el-GR"/>
        </w:rPr>
        <w:t>Πηγή</w:t>
      </w:r>
      <w:r w:rsidRPr="001274E9">
        <w:rPr>
          <w:rFonts w:asciiTheme="majorHAnsi" w:hAnsiTheme="majorHAnsi" w:cstheme="majorHAnsi"/>
          <w:color w:val="1C6194" w:themeColor="accent2" w:themeShade="BF"/>
          <w:lang w:val="el-GR"/>
        </w:rPr>
        <w:t xml:space="preserve">: Στοιχεία Ελληνικής Στατιστικής Αρχής, Έρευνα Εισοδήματος και Συνθηκών Διαβίωσης των Νοικοκυριών </w:t>
      </w:r>
      <w:r>
        <w:rPr>
          <w:rFonts w:asciiTheme="majorHAnsi" w:hAnsiTheme="majorHAnsi" w:cstheme="majorHAnsi"/>
          <w:color w:val="1C6194" w:themeColor="accent2" w:themeShade="BF"/>
          <w:lang w:val="el-GR"/>
        </w:rPr>
        <w:t xml:space="preserve">2022 </w:t>
      </w:r>
      <w:r w:rsidRPr="001274E9">
        <w:rPr>
          <w:rFonts w:asciiTheme="majorHAnsi" w:hAnsiTheme="majorHAnsi" w:cstheme="majorHAnsi"/>
          <w:color w:val="1C6194" w:themeColor="accent2" w:themeShade="BF"/>
          <w:lang w:val="el-GR"/>
        </w:rPr>
        <w:t xml:space="preserve">/ </w:t>
      </w:r>
      <w:r w:rsidRPr="001274E9">
        <w:rPr>
          <w:rFonts w:asciiTheme="majorHAnsi" w:hAnsiTheme="majorHAnsi" w:cstheme="majorHAnsi"/>
          <w:b/>
          <w:bCs/>
          <w:color w:val="1C6194" w:themeColor="accent2" w:themeShade="BF"/>
          <w:lang w:val="el-GR"/>
        </w:rPr>
        <w:t>Επεξεργασία δεδομένων</w:t>
      </w:r>
      <w:r w:rsidRPr="001274E9">
        <w:rPr>
          <w:rFonts w:asciiTheme="majorHAnsi" w:hAnsiTheme="majorHAnsi" w:cstheme="majorHAnsi"/>
          <w:color w:val="1C6194" w:themeColor="accent2" w:themeShade="BF"/>
          <w:lang w:val="el-GR"/>
        </w:rPr>
        <w:t>: Εθνική Συνομοσπονδία Ατόμων με Αναπηρία</w:t>
      </w:r>
      <w:r w:rsidRPr="002E31F3">
        <w:rPr>
          <w:rFonts w:asciiTheme="majorHAnsi" w:hAnsiTheme="majorHAnsi" w:cstheme="majorHAnsi"/>
          <w:color w:val="1C6194" w:themeColor="accent2" w:themeShade="BF"/>
          <w:lang w:val="el-GR"/>
        </w:rPr>
        <w:t xml:space="preserve"> (</w:t>
      </w:r>
      <w:r w:rsidRPr="001274E9">
        <w:rPr>
          <w:rFonts w:asciiTheme="majorHAnsi" w:hAnsiTheme="majorHAnsi" w:cstheme="majorHAnsi"/>
          <w:color w:val="1C6194" w:themeColor="accent2" w:themeShade="BF"/>
          <w:lang w:val="el-GR"/>
        </w:rPr>
        <w:t>ΕΣΑμεΑ</w:t>
      </w:r>
      <w:r w:rsidRPr="002E31F3">
        <w:rPr>
          <w:rFonts w:asciiTheme="majorHAnsi" w:hAnsiTheme="majorHAnsi" w:cstheme="majorHAnsi"/>
          <w:color w:val="1C6194" w:themeColor="accent2" w:themeShade="BF"/>
          <w:lang w:val="el-GR"/>
        </w:rPr>
        <w:t>)</w:t>
      </w:r>
    </w:p>
    <w:p w14:paraId="74BFE38B" w14:textId="77777777" w:rsidR="007578C2" w:rsidRDefault="007578C2">
      <w:pPr>
        <w:spacing w:after="0" w:line="240" w:lineRule="auto"/>
        <w:rPr>
          <w:rFonts w:ascii="Constantia" w:eastAsia="Times New Roman" w:hAnsi="Constantia" w:cs="Times New Roman"/>
          <w:color w:val="000000"/>
          <w:sz w:val="24"/>
          <w:szCs w:val="24"/>
          <w:lang w:val="el-GR" w:eastAsia="el-GR"/>
        </w:rPr>
      </w:pPr>
      <w:r>
        <w:rPr>
          <w:rFonts w:ascii="Constantia" w:eastAsia="Times New Roman" w:hAnsi="Constantia" w:cs="Times New Roman"/>
          <w:color w:val="000000"/>
          <w:sz w:val="24"/>
          <w:szCs w:val="24"/>
          <w:lang w:val="el-GR" w:eastAsia="el-GR"/>
        </w:rPr>
        <w:br w:type="page"/>
      </w:r>
    </w:p>
    <w:p w14:paraId="70127BFE" w14:textId="7408AAEC" w:rsidR="00AE1661" w:rsidRDefault="00AE1661" w:rsidP="00AE1661">
      <w:pPr>
        <w:jc w:val="both"/>
        <w:rPr>
          <w:rFonts w:ascii="Constantia" w:eastAsia="Times New Roman" w:hAnsi="Constantia" w:cs="Times New Roman"/>
          <w:color w:val="000000"/>
          <w:sz w:val="24"/>
          <w:szCs w:val="24"/>
          <w:lang w:val="el-GR" w:eastAsia="el-GR"/>
        </w:rPr>
      </w:pPr>
      <w:r w:rsidRPr="00B31F97">
        <w:rPr>
          <w:rFonts w:ascii="Constantia" w:eastAsia="Times New Roman" w:hAnsi="Constantia" w:cs="Times New Roman"/>
          <w:color w:val="000000"/>
          <w:sz w:val="24"/>
          <w:szCs w:val="24"/>
          <w:lang w:val="el-GR" w:eastAsia="el-GR"/>
        </w:rPr>
        <w:t>Η διαφορά αυτή υποδηλώνει ότι τα νοικοκυριά των ατόμων με αναπηρία αντιμετωπίζουν συχνότερα κατοικίες με ανεπαρκή ενεργειακά χαρακτηριστικά</w:t>
      </w:r>
      <w:r>
        <w:rPr>
          <w:rFonts w:ascii="Constantia" w:eastAsia="Times New Roman" w:hAnsi="Constantia" w:cs="Times New Roman"/>
          <w:color w:val="000000"/>
          <w:sz w:val="24"/>
          <w:szCs w:val="24"/>
          <w:lang w:val="el-GR" w:eastAsia="el-GR"/>
        </w:rPr>
        <w:t xml:space="preserve"> ενώ έχουν περιορισμένη δυνατότητα </w:t>
      </w:r>
      <w:r w:rsidRPr="000F2AA3">
        <w:rPr>
          <w:rFonts w:ascii="Constantia" w:eastAsia="Times New Roman" w:hAnsi="Constantia" w:cs="Times New Roman"/>
          <w:color w:val="000000"/>
          <w:sz w:val="24"/>
          <w:szCs w:val="24"/>
          <w:lang w:val="el-GR" w:eastAsia="el-GR"/>
        </w:rPr>
        <w:t>συντήρησης και αναβάθμισης της υφιστάμενης κατοικίας τους.</w:t>
      </w:r>
    </w:p>
    <w:p w14:paraId="4B0EBD5B" w14:textId="77777777" w:rsidR="00AE1661" w:rsidRDefault="00AE1661" w:rsidP="00AE1661">
      <w:pPr>
        <w:jc w:val="both"/>
        <w:rPr>
          <w:rFonts w:ascii="Constantia" w:eastAsia="Times New Roman" w:hAnsi="Constantia" w:cs="Times New Roman"/>
          <w:color w:val="000000"/>
          <w:sz w:val="24"/>
          <w:szCs w:val="24"/>
          <w:lang w:val="el-GR" w:eastAsia="el-GR"/>
        </w:rPr>
      </w:pPr>
      <w:r>
        <w:rPr>
          <w:rFonts w:ascii="Constantia" w:eastAsia="Times New Roman" w:hAnsi="Constantia" w:cs="Times New Roman"/>
          <w:color w:val="000000"/>
          <w:sz w:val="24"/>
          <w:szCs w:val="24"/>
          <w:lang w:val="el-GR" w:eastAsia="el-GR"/>
        </w:rPr>
        <w:t>Αυτό το εύρημα είναι ιδιαίτερα σοβαρό</w:t>
      </w:r>
      <w:r w:rsidRPr="000F2AA3">
        <w:rPr>
          <w:rFonts w:ascii="Constantia" w:eastAsia="Times New Roman" w:hAnsi="Constantia" w:cs="Times New Roman"/>
          <w:color w:val="000000"/>
          <w:sz w:val="24"/>
          <w:szCs w:val="24"/>
          <w:lang w:val="el-GR" w:eastAsia="el-GR"/>
        </w:rPr>
        <w:t>, καθώς</w:t>
      </w:r>
      <w:r>
        <w:rPr>
          <w:rFonts w:ascii="Constantia" w:eastAsia="Times New Roman" w:hAnsi="Constantia" w:cs="Times New Roman"/>
          <w:color w:val="000000"/>
          <w:sz w:val="24"/>
          <w:szCs w:val="24"/>
          <w:lang w:val="el-GR" w:eastAsia="el-GR"/>
        </w:rPr>
        <w:t>,</w:t>
      </w:r>
      <w:r w:rsidRPr="000F2AA3">
        <w:rPr>
          <w:rFonts w:ascii="Constantia" w:eastAsia="Times New Roman" w:hAnsi="Constantia" w:cs="Times New Roman"/>
          <w:color w:val="000000"/>
          <w:sz w:val="24"/>
          <w:szCs w:val="24"/>
          <w:lang w:val="el-GR" w:eastAsia="el-GR"/>
        </w:rPr>
        <w:t xml:space="preserve"> τα άτομα </w:t>
      </w:r>
      <w:r>
        <w:rPr>
          <w:rFonts w:ascii="Constantia" w:eastAsia="Times New Roman" w:hAnsi="Constantia" w:cs="Times New Roman"/>
          <w:color w:val="000000"/>
          <w:sz w:val="24"/>
          <w:szCs w:val="24"/>
          <w:lang w:val="el-GR" w:eastAsia="el-GR"/>
        </w:rPr>
        <w:t xml:space="preserve">με αναπηρία </w:t>
      </w:r>
      <w:r w:rsidRPr="000F2AA3">
        <w:rPr>
          <w:rFonts w:ascii="Constantia" w:eastAsia="Times New Roman" w:hAnsi="Constantia" w:cs="Times New Roman"/>
          <w:color w:val="000000"/>
          <w:sz w:val="24"/>
          <w:szCs w:val="24"/>
          <w:lang w:val="el-GR" w:eastAsia="el-GR"/>
        </w:rPr>
        <w:t xml:space="preserve">και τα άτομα με χρόνιες παθήσεις αντιμετωπίζουν συχνά αυξημένο ενεργειακό κόστος, ιδίως όταν απαιτείται συνεχής χρήση ιατροτεχνολογικού εξοπλισμού, ειδικών συνθηκών θέρμανσης ή ψύξης ή άλλων υποστηρικτικών μέσων, γεγονός που επιβαρύνει σημαντικά το συνολικό κόστος διαβίωσης και αυξάνει τον κίνδυνο </w:t>
      </w:r>
      <w:r>
        <w:rPr>
          <w:rFonts w:ascii="Constantia" w:eastAsia="Times New Roman" w:hAnsi="Constantia" w:cs="Times New Roman"/>
          <w:color w:val="000000"/>
          <w:sz w:val="24"/>
          <w:szCs w:val="24"/>
          <w:lang w:val="el-GR" w:eastAsia="el-GR"/>
        </w:rPr>
        <w:t xml:space="preserve">της </w:t>
      </w:r>
      <w:r w:rsidRPr="000F2AA3">
        <w:rPr>
          <w:rFonts w:ascii="Constantia" w:eastAsia="Times New Roman" w:hAnsi="Constantia" w:cs="Times New Roman"/>
          <w:color w:val="000000"/>
          <w:sz w:val="24"/>
          <w:szCs w:val="24"/>
          <w:lang w:val="el-GR" w:eastAsia="el-GR"/>
        </w:rPr>
        <w:t>φτώχειας</w:t>
      </w:r>
      <w:r>
        <w:rPr>
          <w:rFonts w:ascii="Constantia" w:eastAsia="Times New Roman" w:hAnsi="Constantia" w:cs="Times New Roman"/>
          <w:color w:val="000000"/>
          <w:sz w:val="24"/>
          <w:szCs w:val="24"/>
          <w:lang w:val="el-GR" w:eastAsia="el-GR"/>
        </w:rPr>
        <w:t>.</w:t>
      </w:r>
      <w:r w:rsidRPr="00A60CBE">
        <w:rPr>
          <w:rFonts w:ascii="Constantia" w:eastAsia="Times New Roman" w:hAnsi="Constantia" w:cs="Times New Roman"/>
          <w:color w:val="000000"/>
          <w:sz w:val="24"/>
          <w:szCs w:val="24"/>
          <w:lang w:val="el-GR" w:eastAsia="el-GR"/>
        </w:rPr>
        <w:t xml:space="preserve"> </w:t>
      </w:r>
    </w:p>
    <w:p w14:paraId="102BC579" w14:textId="0F831E68" w:rsidR="00AE1661" w:rsidRPr="000F2AA3" w:rsidRDefault="00AE1661" w:rsidP="00AE1661">
      <w:pPr>
        <w:jc w:val="both"/>
        <w:rPr>
          <w:rFonts w:ascii="Constantia" w:eastAsia="Times New Roman" w:hAnsi="Constantia" w:cs="Times New Roman"/>
          <w:color w:val="000000"/>
          <w:sz w:val="24"/>
          <w:szCs w:val="24"/>
          <w:lang w:val="el-GR" w:eastAsia="el-GR"/>
        </w:rPr>
      </w:pPr>
      <w:r w:rsidRPr="000F2AA3">
        <w:rPr>
          <w:rFonts w:ascii="Constantia" w:eastAsia="Times New Roman" w:hAnsi="Constantia" w:cs="Times New Roman"/>
          <w:color w:val="000000"/>
          <w:sz w:val="24"/>
          <w:szCs w:val="24"/>
          <w:lang w:val="el-GR" w:eastAsia="el-GR"/>
        </w:rPr>
        <w:t xml:space="preserve">Στην ερώτηση ποιος είναι ο κύριος λόγος για τον οποίο η κύρια κατοικία δεν υποβλήθηκε σε εργασίες ανακαίνισης για τη βελτίωση της ενεργειακής της απόδοσης, τα 8 στα 10 άτομα με αναπηρία και χωρίς αναπηρία απαντάνε ότι ο βασικός λόγος είναι το υψηλό κόστος των εργασιών. </w:t>
      </w:r>
    </w:p>
    <w:p w14:paraId="61AE5913" w14:textId="363BCB33" w:rsidR="00661F60" w:rsidRDefault="00661F60">
      <w:pPr>
        <w:spacing w:after="0" w:line="240" w:lineRule="auto"/>
        <w:rPr>
          <w:highlight w:val="yellow"/>
          <w:lang w:val="el-GR"/>
        </w:rPr>
      </w:pPr>
      <w:r>
        <w:rPr>
          <w:highlight w:val="yellow"/>
          <w:lang w:val="el-GR"/>
        </w:rPr>
        <w:br w:type="page"/>
      </w:r>
    </w:p>
    <w:p w14:paraId="64A194B3" w14:textId="77777777" w:rsidR="00AE1661" w:rsidRPr="00A62D5B" w:rsidRDefault="00AE1661" w:rsidP="00A62D5B">
      <w:pPr>
        <w:pStyle w:val="10"/>
        <w:spacing w:after="360"/>
        <w:ind w:left="431" w:hanging="431"/>
        <w:rPr>
          <w:b/>
          <w:bCs/>
          <w:color w:val="auto"/>
        </w:rPr>
      </w:pPr>
      <w:bookmarkStart w:id="35" w:name="_Toc235457010"/>
      <w:r w:rsidRPr="00A62D5B">
        <w:rPr>
          <w:b/>
          <w:bCs/>
          <w:color w:val="auto"/>
        </w:rPr>
        <w:t>Προσβασιμότητα Κατοικίας</w:t>
      </w:r>
      <w:bookmarkEnd w:id="35"/>
    </w:p>
    <w:p w14:paraId="3777C433" w14:textId="763ED1B4" w:rsidR="00BA69E4" w:rsidRPr="002E31F3" w:rsidRDefault="00BA69E4" w:rsidP="00BA69E4">
      <w:pPr>
        <w:jc w:val="both"/>
        <w:rPr>
          <w:rFonts w:ascii="Constantia" w:eastAsia="Times New Roman" w:hAnsi="Constantia" w:cs="Times New Roman"/>
          <w:color w:val="000000"/>
          <w:sz w:val="24"/>
          <w:szCs w:val="24"/>
          <w:lang w:val="el-GR" w:eastAsia="el-GR"/>
        </w:rPr>
      </w:pPr>
      <w:r w:rsidRPr="00BA69E4">
        <w:rPr>
          <w:rFonts w:ascii="Constantia" w:eastAsia="Times New Roman" w:hAnsi="Constantia" w:cs="Times New Roman"/>
          <w:color w:val="000000"/>
          <w:sz w:val="24"/>
          <w:szCs w:val="24"/>
          <w:lang w:val="el-GR" w:eastAsia="el-GR"/>
        </w:rPr>
        <w:t xml:space="preserve">Η ανάλυση της ερώτησης του ελληνικού ερωτηματολογίου της Έρευνας Εισοδήματος και Συνθηκών Διαβίωσης των Νοικοκυριών που αφορά στις </w:t>
      </w:r>
      <w:r>
        <w:rPr>
          <w:rFonts w:ascii="Constantia" w:eastAsia="Times New Roman" w:hAnsi="Constantia" w:cs="Times New Roman"/>
          <w:color w:val="000000"/>
          <w:sz w:val="24"/>
          <w:szCs w:val="24"/>
          <w:lang w:val="el-GR" w:eastAsia="el-GR"/>
        </w:rPr>
        <w:t>παρεμβάσεις</w:t>
      </w:r>
      <w:r w:rsidRPr="00BA69E4">
        <w:rPr>
          <w:rFonts w:ascii="Constantia" w:eastAsia="Times New Roman" w:hAnsi="Constantia" w:cs="Times New Roman"/>
          <w:color w:val="000000"/>
          <w:sz w:val="24"/>
          <w:szCs w:val="24"/>
          <w:lang w:val="el-GR" w:eastAsia="el-GR"/>
        </w:rPr>
        <w:t xml:space="preserve"> προσβασιμότητας στα νοικοκυριά με μέλη που χρήζουν φροντίδας ή υποστήριξης</w:t>
      </w:r>
      <w:r w:rsidRPr="00012917">
        <w:rPr>
          <w:vertAlign w:val="superscript"/>
          <w:lang w:val="el-GR" w:eastAsia="el-GR"/>
        </w:rPr>
        <w:footnoteReference w:id="1"/>
      </w:r>
      <w:r>
        <w:rPr>
          <w:rFonts w:ascii="Constantia" w:eastAsia="Times New Roman" w:hAnsi="Constantia" w:cs="Times New Roman"/>
          <w:color w:val="000000"/>
          <w:sz w:val="24"/>
          <w:szCs w:val="24"/>
          <w:lang w:val="el-GR" w:eastAsia="el-GR"/>
        </w:rPr>
        <w:t>,</w:t>
      </w:r>
      <w:r w:rsidRPr="00BA69E4">
        <w:rPr>
          <w:rFonts w:ascii="Constantia" w:eastAsia="Times New Roman" w:hAnsi="Constantia" w:cs="Times New Roman"/>
          <w:color w:val="000000"/>
          <w:sz w:val="24"/>
          <w:szCs w:val="24"/>
          <w:lang w:val="el-GR" w:eastAsia="el-GR"/>
        </w:rPr>
        <w:t xml:space="preserve"> καταδεικνύει μια ιδιαίτερα σημαντική διάσταση της στεγαστικής φτώχειας των ατόμων με αναπηρία.</w:t>
      </w:r>
    </w:p>
    <w:p w14:paraId="08AE96F3" w14:textId="667480AC" w:rsidR="00BA69E4" w:rsidRPr="00BA69E4" w:rsidRDefault="00BA69E4" w:rsidP="00BA69E4">
      <w:pPr>
        <w:jc w:val="both"/>
        <w:rPr>
          <w:rFonts w:ascii="Constantia" w:eastAsia="Times New Roman" w:hAnsi="Constantia" w:cs="Times New Roman"/>
          <w:color w:val="000000"/>
          <w:sz w:val="24"/>
          <w:szCs w:val="24"/>
          <w:lang w:val="el-GR" w:eastAsia="el-GR"/>
        </w:rPr>
      </w:pPr>
      <w:r w:rsidRPr="00BA69E4">
        <w:rPr>
          <w:rFonts w:ascii="Constantia" w:eastAsia="Times New Roman" w:hAnsi="Constantia" w:cs="Times New Roman"/>
          <w:color w:val="000000"/>
          <w:sz w:val="24"/>
          <w:szCs w:val="24"/>
          <w:lang w:val="el-GR" w:eastAsia="el-GR"/>
        </w:rPr>
        <w:t xml:space="preserve">Τα ευρήματα </w:t>
      </w:r>
      <w:r>
        <w:rPr>
          <w:rFonts w:ascii="Constantia" w:eastAsia="Times New Roman" w:hAnsi="Constantia" w:cs="Times New Roman"/>
          <w:color w:val="000000"/>
          <w:sz w:val="24"/>
          <w:szCs w:val="24"/>
          <w:lang w:val="el-GR" w:eastAsia="el-GR"/>
        </w:rPr>
        <w:t xml:space="preserve">επιβεβαιώνουν </w:t>
      </w:r>
      <w:r w:rsidRPr="00BA69E4">
        <w:rPr>
          <w:rFonts w:ascii="Constantia" w:eastAsia="Times New Roman" w:hAnsi="Constantia" w:cs="Times New Roman"/>
          <w:color w:val="000000"/>
          <w:sz w:val="24"/>
          <w:szCs w:val="24"/>
          <w:lang w:val="el-GR" w:eastAsia="el-GR"/>
        </w:rPr>
        <w:t>ότι η προσαρμογή των κατοικιών στις ανάγκες προσβασιμότητας παραμένει περιορισμένη, παρά την αυξανόμενη κοινωνική αναγνώριση της σημασίας της καθολικής προσβασιμότητας.</w:t>
      </w:r>
    </w:p>
    <w:p w14:paraId="5294EC85" w14:textId="5C867E28" w:rsidR="008943CC" w:rsidRDefault="00412692" w:rsidP="00AE1661">
      <w:pPr>
        <w:pStyle w:val="a5"/>
        <w:spacing w:before="240" w:after="120"/>
        <w:jc w:val="center"/>
        <w:rPr>
          <w:rFonts w:asciiTheme="majorHAnsi" w:hAnsiTheme="majorHAnsi" w:cstheme="majorHAnsi"/>
          <w:i w:val="0"/>
          <w:iCs w:val="0"/>
          <w:color w:val="1C6194" w:themeColor="accent2" w:themeShade="BF"/>
          <w:sz w:val="24"/>
          <w:szCs w:val="24"/>
          <w:lang w:val="el-GR"/>
        </w:rPr>
      </w:pPr>
      <w:bookmarkStart w:id="36" w:name="_Toc235457017"/>
      <w:r w:rsidRPr="00BA69E4">
        <w:rPr>
          <w:rFonts w:asciiTheme="majorHAnsi" w:hAnsiTheme="majorHAnsi" w:cstheme="majorHAnsi"/>
          <w:b/>
          <w:bCs/>
          <w:i w:val="0"/>
          <w:iCs w:val="0"/>
          <w:color w:val="1C6194" w:themeColor="accent2" w:themeShade="BF"/>
          <w:sz w:val="24"/>
          <w:szCs w:val="24"/>
          <w:lang w:val="el-GR"/>
        </w:rPr>
        <w:t xml:space="preserve">Γράφημα </w:t>
      </w:r>
      <w:r w:rsidRPr="00BA69E4">
        <w:rPr>
          <w:rFonts w:asciiTheme="majorHAnsi" w:hAnsiTheme="majorHAnsi" w:cstheme="majorHAnsi"/>
          <w:b/>
          <w:bCs/>
          <w:i w:val="0"/>
          <w:iCs w:val="0"/>
          <w:color w:val="1C6194" w:themeColor="accent2" w:themeShade="BF"/>
          <w:sz w:val="24"/>
          <w:szCs w:val="24"/>
        </w:rPr>
        <w:fldChar w:fldCharType="begin"/>
      </w:r>
      <w:r w:rsidRPr="00BA69E4">
        <w:rPr>
          <w:rFonts w:asciiTheme="majorHAnsi" w:hAnsiTheme="majorHAnsi" w:cstheme="majorHAnsi"/>
          <w:b/>
          <w:bCs/>
          <w:i w:val="0"/>
          <w:iCs w:val="0"/>
          <w:color w:val="1C6194" w:themeColor="accent2" w:themeShade="BF"/>
          <w:sz w:val="24"/>
          <w:szCs w:val="24"/>
          <w:lang w:val="el-GR"/>
        </w:rPr>
        <w:instrText xml:space="preserve"> </w:instrText>
      </w:r>
      <w:r w:rsidRPr="00BA69E4">
        <w:rPr>
          <w:rFonts w:asciiTheme="majorHAnsi" w:hAnsiTheme="majorHAnsi" w:cstheme="majorHAnsi"/>
          <w:b/>
          <w:bCs/>
          <w:i w:val="0"/>
          <w:iCs w:val="0"/>
          <w:color w:val="1C6194" w:themeColor="accent2" w:themeShade="BF"/>
          <w:sz w:val="24"/>
          <w:szCs w:val="24"/>
        </w:rPr>
        <w:instrText>SEQ</w:instrText>
      </w:r>
      <w:r w:rsidRPr="00BA69E4">
        <w:rPr>
          <w:rFonts w:asciiTheme="majorHAnsi" w:hAnsiTheme="majorHAnsi" w:cstheme="majorHAnsi"/>
          <w:b/>
          <w:bCs/>
          <w:i w:val="0"/>
          <w:iCs w:val="0"/>
          <w:color w:val="1C6194" w:themeColor="accent2" w:themeShade="BF"/>
          <w:sz w:val="24"/>
          <w:szCs w:val="24"/>
          <w:lang w:val="el-GR"/>
        </w:rPr>
        <w:instrText xml:space="preserve"> Γράφημα \* </w:instrText>
      </w:r>
      <w:r w:rsidRPr="00BA69E4">
        <w:rPr>
          <w:rFonts w:asciiTheme="majorHAnsi" w:hAnsiTheme="majorHAnsi" w:cstheme="majorHAnsi"/>
          <w:b/>
          <w:bCs/>
          <w:i w:val="0"/>
          <w:iCs w:val="0"/>
          <w:color w:val="1C6194" w:themeColor="accent2" w:themeShade="BF"/>
          <w:sz w:val="24"/>
          <w:szCs w:val="24"/>
        </w:rPr>
        <w:instrText>ARABIC</w:instrText>
      </w:r>
      <w:r w:rsidRPr="00BA69E4">
        <w:rPr>
          <w:rFonts w:asciiTheme="majorHAnsi" w:hAnsiTheme="majorHAnsi" w:cstheme="majorHAnsi"/>
          <w:b/>
          <w:bCs/>
          <w:i w:val="0"/>
          <w:iCs w:val="0"/>
          <w:color w:val="1C6194" w:themeColor="accent2" w:themeShade="BF"/>
          <w:sz w:val="24"/>
          <w:szCs w:val="24"/>
          <w:lang w:val="el-GR"/>
        </w:rPr>
        <w:instrText xml:space="preserve"> </w:instrText>
      </w:r>
      <w:r w:rsidRPr="00BA69E4">
        <w:rPr>
          <w:rFonts w:asciiTheme="majorHAnsi" w:hAnsiTheme="majorHAnsi" w:cstheme="majorHAnsi"/>
          <w:b/>
          <w:bCs/>
          <w:i w:val="0"/>
          <w:iCs w:val="0"/>
          <w:color w:val="1C6194" w:themeColor="accent2" w:themeShade="BF"/>
          <w:sz w:val="24"/>
          <w:szCs w:val="24"/>
        </w:rPr>
        <w:fldChar w:fldCharType="separate"/>
      </w:r>
      <w:r w:rsidR="00AE1661" w:rsidRPr="00BA69E4">
        <w:rPr>
          <w:rFonts w:asciiTheme="majorHAnsi" w:hAnsiTheme="majorHAnsi" w:cstheme="majorHAnsi"/>
          <w:b/>
          <w:bCs/>
          <w:i w:val="0"/>
          <w:iCs w:val="0"/>
          <w:noProof/>
          <w:color w:val="1C6194" w:themeColor="accent2" w:themeShade="BF"/>
          <w:sz w:val="24"/>
          <w:szCs w:val="24"/>
          <w:lang w:val="el-GR"/>
        </w:rPr>
        <w:t>7</w:t>
      </w:r>
      <w:r w:rsidRPr="00BA69E4">
        <w:rPr>
          <w:rFonts w:asciiTheme="majorHAnsi" w:hAnsiTheme="majorHAnsi" w:cstheme="majorHAnsi"/>
          <w:b/>
          <w:bCs/>
          <w:i w:val="0"/>
          <w:iCs w:val="0"/>
          <w:color w:val="1C6194" w:themeColor="accent2" w:themeShade="BF"/>
          <w:sz w:val="24"/>
          <w:szCs w:val="24"/>
        </w:rPr>
        <w:fldChar w:fldCharType="end"/>
      </w:r>
      <w:r w:rsidRPr="00BA69E4">
        <w:rPr>
          <w:rFonts w:asciiTheme="majorHAnsi" w:hAnsiTheme="majorHAnsi" w:cstheme="majorHAnsi"/>
          <w:i w:val="0"/>
          <w:iCs w:val="0"/>
          <w:color w:val="1C6194" w:themeColor="accent2" w:themeShade="BF"/>
          <w:sz w:val="24"/>
          <w:szCs w:val="24"/>
          <w:lang w:val="el-GR"/>
        </w:rPr>
        <w:t xml:space="preserve">. </w:t>
      </w:r>
      <w:bookmarkEnd w:id="34"/>
      <w:r w:rsidR="00AE1661" w:rsidRPr="00BA69E4">
        <w:rPr>
          <w:rFonts w:asciiTheme="majorHAnsi" w:hAnsiTheme="majorHAnsi" w:cstheme="majorHAnsi"/>
          <w:i w:val="0"/>
          <w:iCs w:val="0"/>
          <w:color w:val="1C6194" w:themeColor="accent2" w:themeShade="BF"/>
          <w:sz w:val="24"/>
          <w:szCs w:val="24"/>
          <w:lang w:val="el-GR"/>
        </w:rPr>
        <w:t>Εάν έχουν προβεί σε αναγκαίες παρεμβάσεις αποκατάστασης της προσβασιμότητάς της κατοικίας</w:t>
      </w:r>
      <w:bookmarkEnd w:id="36"/>
    </w:p>
    <w:p w14:paraId="64FC5EA4" w14:textId="1F3515E0" w:rsidR="00412692" w:rsidRPr="00BA69E4" w:rsidRDefault="00AE1661" w:rsidP="00AE1661">
      <w:pPr>
        <w:pStyle w:val="a5"/>
        <w:spacing w:before="240" w:after="120"/>
        <w:jc w:val="center"/>
        <w:rPr>
          <w:lang w:val="el-GR"/>
        </w:rPr>
      </w:pPr>
      <w:r w:rsidRPr="00BA69E4">
        <w:rPr>
          <w:noProof/>
          <w:lang w:val="el-GR" w:eastAsia="el-GR"/>
        </w:rPr>
        <w:drawing>
          <wp:inline distT="0" distB="0" distL="0" distR="0" wp14:anchorId="6BA581B8" wp14:editId="0609CBDF">
            <wp:extent cx="5316855" cy="2781620"/>
            <wp:effectExtent l="0" t="0" r="0" b="0"/>
            <wp:docPr id="1871587679" name="Γράφημα 1" descr="Ναι, έχουμε προβεί σε όλες τις αναγκαίες παρεμβάσεις στην κατοικία: 25,3% το 2021 και 15,3% το 2025.&#10;Έχουμε προβεί σε μερικές αλλά όχι σε όλες τις αναγκαίες παρεμβάσεις: 16,4% το 2021 και 14,2% το 2025.&#10;Όχι, δεν έχουμε προβεί σε παρεμβάσεις στην κατοικία: 58,3% το 2021 και 70,5% το 2025.">
              <a:extLst xmlns:a="http://schemas.openxmlformats.org/drawingml/2006/main">
                <a:ext uri="{FF2B5EF4-FFF2-40B4-BE49-F238E27FC236}">
                  <a16:creationId xmlns:a16="http://schemas.microsoft.com/office/drawing/2014/main" id="{9AC3BD42-9371-95E5-23F3-B7F94B5BA3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C7B24A" w14:textId="1F10A494" w:rsidR="00412692" w:rsidRPr="00BA69E4" w:rsidRDefault="00412692" w:rsidP="00412692">
      <w:pPr>
        <w:pStyle w:val="a5"/>
        <w:jc w:val="center"/>
        <w:rPr>
          <w:rFonts w:asciiTheme="majorHAnsi" w:hAnsiTheme="majorHAnsi" w:cstheme="majorHAnsi"/>
          <w:color w:val="1C6194" w:themeColor="accent2" w:themeShade="BF"/>
          <w:lang w:val="el-GR"/>
        </w:rPr>
      </w:pPr>
      <w:r w:rsidRPr="00BA69E4">
        <w:rPr>
          <w:rFonts w:asciiTheme="majorHAnsi" w:hAnsiTheme="majorHAnsi" w:cstheme="majorHAnsi"/>
          <w:b/>
          <w:bCs/>
          <w:color w:val="1C6194" w:themeColor="accent2" w:themeShade="BF"/>
          <w:lang w:val="el-GR"/>
        </w:rPr>
        <w:t>Πηγή</w:t>
      </w:r>
      <w:r w:rsidRPr="00BA69E4">
        <w:rPr>
          <w:rFonts w:asciiTheme="majorHAnsi" w:hAnsiTheme="majorHAnsi" w:cstheme="majorHAnsi"/>
          <w:color w:val="1C6194" w:themeColor="accent2" w:themeShade="BF"/>
          <w:lang w:val="el-GR"/>
        </w:rPr>
        <w:t xml:space="preserve">: Στοιχεία Ελληνικής Στατιστικής Αρχής, Έρευνα Εισοδήματος και Συνθηκών Διαβίωσης των Νοικοκυριών / </w:t>
      </w:r>
      <w:r w:rsidRPr="00BA69E4">
        <w:rPr>
          <w:rFonts w:asciiTheme="majorHAnsi" w:hAnsiTheme="majorHAnsi" w:cstheme="majorHAnsi"/>
          <w:b/>
          <w:bCs/>
          <w:color w:val="1C6194" w:themeColor="accent2" w:themeShade="BF"/>
          <w:lang w:val="el-GR"/>
        </w:rPr>
        <w:t>Επεξεργασία δεδομένων</w:t>
      </w:r>
      <w:r w:rsidRPr="00BA69E4">
        <w:rPr>
          <w:rFonts w:asciiTheme="majorHAnsi" w:hAnsiTheme="majorHAnsi" w:cstheme="majorHAnsi"/>
          <w:color w:val="1C6194" w:themeColor="accent2" w:themeShade="BF"/>
          <w:lang w:val="el-GR"/>
        </w:rPr>
        <w:t>: Εθνική Συνομοσπονδία Ατόμων με Αναπηρία</w:t>
      </w:r>
      <w:r w:rsidR="00661F60">
        <w:rPr>
          <w:rFonts w:asciiTheme="majorHAnsi" w:hAnsiTheme="majorHAnsi" w:cstheme="majorHAnsi"/>
          <w:color w:val="1C6194" w:themeColor="accent2" w:themeShade="BF"/>
          <w:lang w:val="el-GR"/>
        </w:rPr>
        <w:t xml:space="preserve"> (</w:t>
      </w:r>
      <w:r w:rsidRPr="00BA69E4">
        <w:rPr>
          <w:rFonts w:asciiTheme="majorHAnsi" w:hAnsiTheme="majorHAnsi" w:cstheme="majorHAnsi"/>
          <w:color w:val="1C6194" w:themeColor="accent2" w:themeShade="BF"/>
          <w:lang w:val="el-GR"/>
        </w:rPr>
        <w:t>ΕΣΑμεΑ</w:t>
      </w:r>
      <w:r w:rsidR="00661F60">
        <w:rPr>
          <w:rFonts w:asciiTheme="majorHAnsi" w:hAnsiTheme="majorHAnsi" w:cstheme="majorHAnsi"/>
          <w:color w:val="1C6194" w:themeColor="accent2" w:themeShade="BF"/>
          <w:lang w:val="el-GR"/>
        </w:rPr>
        <w:t>)</w:t>
      </w:r>
    </w:p>
    <w:p w14:paraId="7579F704" w14:textId="03A8CBD2" w:rsidR="00C36085" w:rsidRPr="002E31F3" w:rsidRDefault="00C36085" w:rsidP="00C36085">
      <w:pPr>
        <w:jc w:val="both"/>
        <w:rPr>
          <w:rFonts w:ascii="Constantia" w:eastAsia="Times New Roman" w:hAnsi="Constantia" w:cs="Times New Roman"/>
          <w:color w:val="000000"/>
          <w:sz w:val="24"/>
          <w:szCs w:val="24"/>
          <w:lang w:val="el-GR" w:eastAsia="el-GR"/>
        </w:rPr>
      </w:pPr>
      <w:r w:rsidRPr="00012917">
        <w:rPr>
          <w:rFonts w:ascii="Constantia" w:eastAsia="Times New Roman" w:hAnsi="Constantia" w:cs="Times New Roman"/>
          <w:color w:val="000000"/>
          <w:sz w:val="24"/>
          <w:szCs w:val="24"/>
          <w:lang w:val="el-GR" w:eastAsia="el-GR"/>
        </w:rPr>
        <w:t>Από το γράφημα προκύπτει ότι η πλειονότητα των ερωτηθέντων δεν έχ</w:t>
      </w:r>
      <w:r>
        <w:rPr>
          <w:rFonts w:ascii="Constantia" w:eastAsia="Times New Roman" w:hAnsi="Constantia" w:cs="Times New Roman"/>
          <w:color w:val="000000"/>
          <w:sz w:val="24"/>
          <w:szCs w:val="24"/>
          <w:lang w:val="el-GR" w:eastAsia="el-GR"/>
        </w:rPr>
        <w:t>ουν</w:t>
      </w:r>
      <w:r w:rsidRPr="00012917">
        <w:rPr>
          <w:rFonts w:ascii="Constantia" w:eastAsia="Times New Roman" w:hAnsi="Constantia" w:cs="Times New Roman"/>
          <w:color w:val="000000"/>
          <w:sz w:val="24"/>
          <w:szCs w:val="24"/>
          <w:lang w:val="el-GR" w:eastAsia="el-GR"/>
        </w:rPr>
        <w:t xml:space="preserve"> προχωρήσει σε </w:t>
      </w:r>
      <w:r>
        <w:rPr>
          <w:rFonts w:ascii="Constantia" w:eastAsia="Times New Roman" w:hAnsi="Constantia" w:cs="Times New Roman"/>
          <w:color w:val="000000"/>
          <w:sz w:val="24"/>
          <w:szCs w:val="24"/>
          <w:lang w:val="el-GR" w:eastAsia="el-GR"/>
        </w:rPr>
        <w:t xml:space="preserve">αναγκαίες </w:t>
      </w:r>
      <w:r w:rsidRPr="00012917">
        <w:rPr>
          <w:rFonts w:ascii="Constantia" w:eastAsia="Times New Roman" w:hAnsi="Constantia" w:cs="Times New Roman"/>
          <w:color w:val="000000"/>
          <w:sz w:val="24"/>
          <w:szCs w:val="24"/>
          <w:lang w:val="el-GR" w:eastAsia="el-GR"/>
        </w:rPr>
        <w:t xml:space="preserve">παρεμβάσεις προσβασιμότητας στην κατοικία </w:t>
      </w:r>
      <w:r>
        <w:rPr>
          <w:rFonts w:ascii="Constantia" w:eastAsia="Times New Roman" w:hAnsi="Constantia" w:cs="Times New Roman"/>
          <w:color w:val="000000"/>
          <w:sz w:val="24"/>
          <w:szCs w:val="24"/>
          <w:lang w:val="el-GR" w:eastAsia="el-GR"/>
        </w:rPr>
        <w:t>τους</w:t>
      </w:r>
      <w:r w:rsidRPr="00012917">
        <w:rPr>
          <w:rFonts w:ascii="Constantia" w:eastAsia="Times New Roman" w:hAnsi="Constantia" w:cs="Times New Roman"/>
          <w:color w:val="000000"/>
          <w:sz w:val="24"/>
          <w:szCs w:val="24"/>
          <w:lang w:val="el-GR" w:eastAsia="el-GR"/>
        </w:rPr>
        <w:t>, ενώ η κατάσταση εμφανίζ</w:t>
      </w:r>
      <w:r>
        <w:rPr>
          <w:rFonts w:ascii="Constantia" w:eastAsia="Times New Roman" w:hAnsi="Constantia" w:cs="Times New Roman"/>
          <w:color w:val="000000"/>
          <w:sz w:val="24"/>
          <w:szCs w:val="24"/>
          <w:lang w:val="el-GR" w:eastAsia="el-GR"/>
        </w:rPr>
        <w:t>ει διαχρονική επιδείνωση μεταξύ των ετών 2021 και 2025.</w:t>
      </w:r>
    </w:p>
    <w:p w14:paraId="63065C72" w14:textId="1385273C" w:rsidR="00C36085" w:rsidRPr="002E31F3" w:rsidRDefault="00C36085" w:rsidP="00C36085">
      <w:pPr>
        <w:jc w:val="both"/>
        <w:rPr>
          <w:rFonts w:ascii="Constantia" w:eastAsia="Times New Roman" w:hAnsi="Constantia" w:cs="Times New Roman"/>
          <w:color w:val="000000"/>
          <w:sz w:val="24"/>
          <w:szCs w:val="24"/>
          <w:lang w:val="el-GR" w:eastAsia="el-GR"/>
        </w:rPr>
      </w:pPr>
      <w:r>
        <w:rPr>
          <w:rFonts w:ascii="Constantia" w:eastAsia="Times New Roman" w:hAnsi="Constantia" w:cs="Times New Roman"/>
          <w:color w:val="000000"/>
          <w:sz w:val="24"/>
          <w:szCs w:val="24"/>
          <w:lang w:val="el-GR" w:eastAsia="el-GR"/>
        </w:rPr>
        <w:t>Τ</w:t>
      </w:r>
      <w:r w:rsidRPr="00012917">
        <w:rPr>
          <w:rFonts w:ascii="Constantia" w:eastAsia="Times New Roman" w:hAnsi="Constantia" w:cs="Times New Roman"/>
          <w:color w:val="000000"/>
          <w:sz w:val="24"/>
          <w:szCs w:val="24"/>
          <w:lang w:val="el-GR" w:eastAsia="el-GR"/>
        </w:rPr>
        <w:t>ο ποσοστό των ατόμων που αναφέρουν ότι έχουν υλοποιήσει όλες τις αναγκαίες παρεμβάσεις μειώνεται αισθητά, από 25,3% το 2021 σε 15,3% το 2025, ενώ μικρή μείωση καταγράφεται και στην κατηγορία όσων έχουν πραγματοποιήσει μερικές, αλλά όχι όλες, τις απαραίτητες παρεμβάσεις</w:t>
      </w:r>
      <w:r>
        <w:rPr>
          <w:rFonts w:ascii="Constantia" w:eastAsia="Times New Roman" w:hAnsi="Constantia" w:cs="Times New Roman"/>
          <w:color w:val="000000"/>
          <w:sz w:val="24"/>
          <w:szCs w:val="24"/>
          <w:lang w:val="el-GR" w:eastAsia="el-GR"/>
        </w:rPr>
        <w:t xml:space="preserve"> </w:t>
      </w:r>
      <w:r w:rsidRPr="00012917">
        <w:rPr>
          <w:rFonts w:ascii="Constantia" w:eastAsia="Times New Roman" w:hAnsi="Constantia" w:cs="Times New Roman"/>
          <w:color w:val="000000"/>
          <w:sz w:val="24"/>
          <w:szCs w:val="24"/>
          <w:lang w:val="el-GR" w:eastAsia="el-GR"/>
        </w:rPr>
        <w:t>από 16,4%</w:t>
      </w:r>
      <w:r>
        <w:rPr>
          <w:rFonts w:ascii="Constantia" w:eastAsia="Times New Roman" w:hAnsi="Constantia" w:cs="Times New Roman"/>
          <w:color w:val="000000"/>
          <w:sz w:val="24"/>
          <w:szCs w:val="24"/>
          <w:lang w:val="el-GR" w:eastAsia="el-GR"/>
        </w:rPr>
        <w:t xml:space="preserve"> το 2021</w:t>
      </w:r>
      <w:r w:rsidRPr="00012917">
        <w:rPr>
          <w:rFonts w:ascii="Constantia" w:eastAsia="Times New Roman" w:hAnsi="Constantia" w:cs="Times New Roman"/>
          <w:color w:val="000000"/>
          <w:sz w:val="24"/>
          <w:szCs w:val="24"/>
          <w:lang w:val="el-GR" w:eastAsia="el-GR"/>
        </w:rPr>
        <w:t xml:space="preserve"> σε 14,2%</w:t>
      </w:r>
      <w:r>
        <w:rPr>
          <w:rFonts w:ascii="Constantia" w:eastAsia="Times New Roman" w:hAnsi="Constantia" w:cs="Times New Roman"/>
          <w:color w:val="000000"/>
          <w:sz w:val="24"/>
          <w:szCs w:val="24"/>
          <w:lang w:val="el-GR" w:eastAsia="el-GR"/>
        </w:rPr>
        <w:t xml:space="preserve"> το 2025.</w:t>
      </w:r>
    </w:p>
    <w:p w14:paraId="06157555" w14:textId="77777777" w:rsidR="00C36085" w:rsidRPr="00012917" w:rsidRDefault="00C36085" w:rsidP="00C36085">
      <w:pPr>
        <w:jc w:val="both"/>
        <w:rPr>
          <w:rFonts w:ascii="Constantia" w:eastAsia="Times New Roman" w:hAnsi="Constantia" w:cs="Times New Roman"/>
          <w:color w:val="000000"/>
          <w:sz w:val="24"/>
          <w:szCs w:val="24"/>
          <w:lang w:val="el-GR" w:eastAsia="el-GR"/>
        </w:rPr>
      </w:pPr>
      <w:r>
        <w:rPr>
          <w:rFonts w:ascii="Constantia" w:eastAsia="Times New Roman" w:hAnsi="Constantia" w:cs="Times New Roman"/>
          <w:color w:val="000000"/>
          <w:sz w:val="24"/>
          <w:szCs w:val="24"/>
          <w:lang w:val="el-GR" w:eastAsia="el-GR"/>
        </w:rPr>
        <w:t>Τ</w:t>
      </w:r>
      <w:r w:rsidRPr="00012917">
        <w:rPr>
          <w:rFonts w:ascii="Constantia" w:eastAsia="Times New Roman" w:hAnsi="Constantia" w:cs="Times New Roman"/>
          <w:color w:val="000000"/>
          <w:sz w:val="24"/>
          <w:szCs w:val="24"/>
          <w:lang w:val="el-GR" w:eastAsia="el-GR"/>
        </w:rPr>
        <w:t xml:space="preserve">ο ποσοστό όσων δεν έχουν πραγματοποιήσει καμία παρέμβαση </w:t>
      </w:r>
      <w:r>
        <w:rPr>
          <w:rFonts w:ascii="Constantia" w:eastAsia="Times New Roman" w:hAnsi="Constantia" w:cs="Times New Roman"/>
          <w:color w:val="000000"/>
          <w:sz w:val="24"/>
          <w:szCs w:val="24"/>
          <w:lang w:val="el-GR" w:eastAsia="el-GR"/>
        </w:rPr>
        <w:t xml:space="preserve">παρότι υπάρχουν ανάλογες εξειδικευμένες ανάγκες, </w:t>
      </w:r>
      <w:r w:rsidRPr="00012917">
        <w:rPr>
          <w:rFonts w:ascii="Constantia" w:eastAsia="Times New Roman" w:hAnsi="Constantia" w:cs="Times New Roman"/>
          <w:color w:val="000000"/>
          <w:sz w:val="24"/>
          <w:szCs w:val="24"/>
          <w:lang w:val="el-GR" w:eastAsia="el-GR"/>
        </w:rPr>
        <w:t xml:space="preserve">αυξάνεται από 58,3% το 2021 σε 70,5% το 2025, </w:t>
      </w:r>
      <w:r>
        <w:rPr>
          <w:rFonts w:ascii="Constantia" w:eastAsia="Times New Roman" w:hAnsi="Constantia" w:cs="Times New Roman"/>
          <w:color w:val="000000"/>
          <w:sz w:val="24"/>
          <w:szCs w:val="24"/>
          <w:lang w:val="el-GR" w:eastAsia="el-GR"/>
        </w:rPr>
        <w:t xml:space="preserve">με τους </w:t>
      </w:r>
      <w:r w:rsidRPr="00012917">
        <w:rPr>
          <w:rFonts w:ascii="Constantia" w:eastAsia="Times New Roman" w:hAnsi="Constantia" w:cs="Times New Roman"/>
          <w:color w:val="000000"/>
          <w:sz w:val="24"/>
          <w:szCs w:val="24"/>
          <w:lang w:val="el-GR" w:eastAsia="el-GR"/>
        </w:rPr>
        <w:t xml:space="preserve">επτά </w:t>
      </w:r>
      <w:r>
        <w:rPr>
          <w:rFonts w:ascii="Constantia" w:eastAsia="Times New Roman" w:hAnsi="Constantia" w:cs="Times New Roman"/>
          <w:color w:val="000000"/>
          <w:sz w:val="24"/>
          <w:szCs w:val="24"/>
          <w:lang w:val="el-GR" w:eastAsia="el-GR"/>
        </w:rPr>
        <w:t xml:space="preserve">δηλαδή </w:t>
      </w:r>
      <w:r w:rsidRPr="00012917">
        <w:rPr>
          <w:rFonts w:ascii="Constantia" w:eastAsia="Times New Roman" w:hAnsi="Constantia" w:cs="Times New Roman"/>
          <w:color w:val="000000"/>
          <w:sz w:val="24"/>
          <w:szCs w:val="24"/>
          <w:lang w:val="el-GR" w:eastAsia="el-GR"/>
        </w:rPr>
        <w:t>στους δέκα</w:t>
      </w:r>
      <w:r>
        <w:rPr>
          <w:rFonts w:ascii="Constantia" w:eastAsia="Times New Roman" w:hAnsi="Constantia" w:cs="Times New Roman"/>
          <w:color w:val="000000"/>
          <w:sz w:val="24"/>
          <w:szCs w:val="24"/>
          <w:lang w:val="el-GR" w:eastAsia="el-GR"/>
        </w:rPr>
        <w:t>,</w:t>
      </w:r>
      <w:r w:rsidRPr="00012917">
        <w:rPr>
          <w:rFonts w:ascii="Constantia" w:eastAsia="Times New Roman" w:hAnsi="Constantia" w:cs="Times New Roman"/>
          <w:color w:val="000000"/>
          <w:sz w:val="24"/>
          <w:szCs w:val="24"/>
          <w:lang w:val="el-GR" w:eastAsia="el-GR"/>
        </w:rPr>
        <w:t xml:space="preserve"> </w:t>
      </w:r>
      <w:r>
        <w:rPr>
          <w:rFonts w:ascii="Constantia" w:eastAsia="Times New Roman" w:hAnsi="Constantia" w:cs="Times New Roman"/>
          <w:color w:val="000000"/>
          <w:sz w:val="24"/>
          <w:szCs w:val="24"/>
          <w:lang w:val="el-GR" w:eastAsia="el-GR"/>
        </w:rPr>
        <w:t xml:space="preserve">να </w:t>
      </w:r>
      <w:r w:rsidRPr="00012917">
        <w:rPr>
          <w:rFonts w:ascii="Constantia" w:eastAsia="Times New Roman" w:hAnsi="Constantia" w:cs="Times New Roman"/>
          <w:color w:val="000000"/>
          <w:sz w:val="24"/>
          <w:szCs w:val="24"/>
          <w:lang w:val="el-GR" w:eastAsia="el-GR"/>
        </w:rPr>
        <w:t>εξακολουθούν να διαμένουν σε κατοικίες χωρίς τις απαραίτητες προσαρμογές.</w:t>
      </w:r>
    </w:p>
    <w:bookmarkEnd w:id="9"/>
    <w:p w14:paraId="4B0666B3" w14:textId="2AFC6E8B" w:rsidR="00926480" w:rsidRPr="00926480" w:rsidRDefault="00926480" w:rsidP="00A62D5B">
      <w:pPr>
        <w:spacing w:before="10000" w:after="0" w:line="240" w:lineRule="auto"/>
        <w:jc w:val="center"/>
        <w:rPr>
          <w:rFonts w:cstheme="minorHAnsi"/>
          <w:lang w:val="el-GR"/>
        </w:rPr>
      </w:pPr>
      <w:r>
        <w:rPr>
          <w:rFonts w:ascii="Aptos Light" w:hAnsi="Aptos Light"/>
          <w:noProof/>
          <w:color w:val="808080" w:themeColor="background1" w:themeShade="80"/>
          <w:sz w:val="32"/>
          <w:szCs w:val="32"/>
          <w:lang w:val="el-GR"/>
        </w:rPr>
        <w:drawing>
          <wp:inline distT="0" distB="0" distL="0" distR="0" wp14:anchorId="4203C08C" wp14:editId="22F7E25C">
            <wp:extent cx="5143500" cy="495300"/>
            <wp:effectExtent l="0" t="0" r="0" b="0"/>
            <wp:docPr id="893832676" name="Picture 4" descr="Λογότυπο Προγράμματος:&#10;Πρόγραμμα &quot;Ανθρώπινο Δυναμικό και Κοινωνική Συνοχή&quot;.&#10;Με τη συγχρηματοδότηση της Ευρωπαϊκής Ένωσης.&#10;ΕΣΠΑ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33752" name="Picture 4" descr="Λογότυπο Προγράμματος:&#10;Πρόγραμμα &quot;Ανθρώπινο Δυναμικό και Κοινωνική Συνοχή&quot;.&#10;Με τη συγχρηματοδότηση της Ευρωπαϊκής Ένωσης.&#10;ΕΣΠΑ 2021-202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818"/>
                    <a:stretch>
                      <a:fillRect/>
                    </a:stretch>
                  </pic:blipFill>
                  <pic:spPr bwMode="auto">
                    <a:xfrm>
                      <a:off x="0" y="0"/>
                      <a:ext cx="5143500" cy="495300"/>
                    </a:xfrm>
                    <a:prstGeom prst="rect">
                      <a:avLst/>
                    </a:prstGeom>
                    <a:noFill/>
                    <a:ln>
                      <a:noFill/>
                    </a:ln>
                    <a:extLst>
                      <a:ext uri="{53640926-AAD7-44D8-BBD7-CCE9431645EC}">
                        <a14:shadowObscured xmlns:a14="http://schemas.microsoft.com/office/drawing/2010/main"/>
                      </a:ext>
                    </a:extLst>
                  </pic:spPr>
                </pic:pic>
              </a:graphicData>
            </a:graphic>
          </wp:inline>
        </w:drawing>
      </w:r>
    </w:p>
    <w:sectPr w:rsidR="00926480" w:rsidRPr="00926480" w:rsidSect="0023028E">
      <w:headerReference w:type="default" r:id="rId22"/>
      <w:footerReference w:type="default" r:id="rId23"/>
      <w:headerReference w:type="first" r:id="rId24"/>
      <w:footerReference w:type="first" r:id="rId25"/>
      <w:pgSz w:w="11906" w:h="16838"/>
      <w:pgMar w:top="1985" w:right="1559" w:bottom="1440" w:left="1843" w:header="567" w:footer="8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E369B" w14:textId="77777777" w:rsidR="007D3DC9" w:rsidRDefault="007D3DC9">
      <w:pPr>
        <w:spacing w:line="240" w:lineRule="auto"/>
      </w:pPr>
      <w:r>
        <w:separator/>
      </w:r>
    </w:p>
  </w:endnote>
  <w:endnote w:type="continuationSeparator" w:id="0">
    <w:p w14:paraId="7EB4A7BA" w14:textId="77777777" w:rsidR="007D3DC9" w:rsidRDefault="007D3D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Book Antiqua">
    <w:panose1 w:val="02040602050305030304"/>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onstantia">
    <w:panose1 w:val="02030602050306030303"/>
    <w:charset w:val="A1"/>
    <w:family w:val="roman"/>
    <w:pitch w:val="variable"/>
    <w:sig w:usb0="A00002EF" w:usb1="4000204B" w:usb2="00000000" w:usb3="00000000" w:csb0="0000019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86FC" w14:textId="75441B91" w:rsidR="007D51AE" w:rsidRDefault="007D51AE">
    <w:pPr>
      <w:pStyle w:val="a9"/>
    </w:pPr>
  </w:p>
  <w:p w14:paraId="19B070ED" w14:textId="77777777" w:rsidR="007D51AE" w:rsidRDefault="007D51AE">
    <w:pPr>
      <w:pStyle w:val="a9"/>
      <w:rPr>
        <w:lang w:val="el-G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732CE" w14:textId="02F6ACAA" w:rsidR="0023028E" w:rsidRPr="00926480" w:rsidRDefault="0023028E" w:rsidP="0023028E">
    <w:pPr>
      <w:pStyle w:val="a9"/>
      <w:jc w:val="right"/>
      <w:rPr>
        <w:sz w:val="21"/>
        <w:szCs w:val="21"/>
      </w:rPr>
    </w:pPr>
    <w:r w:rsidRPr="00926480">
      <w:rPr>
        <w:color w:val="65757D" w:themeColor="background2" w:themeShade="80"/>
        <w:spacing w:val="60"/>
        <w:sz w:val="21"/>
        <w:szCs w:val="21"/>
        <w:lang w:val="el-GR"/>
      </w:rPr>
      <w:t>Σελίδα</w:t>
    </w:r>
    <w:r w:rsidRPr="00926480">
      <w:rPr>
        <w:color w:val="2E653E" w:themeColor="accent5" w:themeShade="BF"/>
        <w:sz w:val="21"/>
        <w:szCs w:val="21"/>
      </w:rPr>
      <w:t xml:space="preserve"> |</w:t>
    </w:r>
    <w:r w:rsidRPr="00926480">
      <w:rPr>
        <w:sz w:val="21"/>
        <w:szCs w:val="21"/>
      </w:rPr>
      <w:t xml:space="preserve"> </w:t>
    </w:r>
    <w:r w:rsidRPr="00926480">
      <w:rPr>
        <w:sz w:val="21"/>
        <w:szCs w:val="21"/>
      </w:rPr>
      <w:fldChar w:fldCharType="begin"/>
    </w:r>
    <w:r w:rsidRPr="00926480">
      <w:rPr>
        <w:sz w:val="21"/>
        <w:szCs w:val="21"/>
      </w:rPr>
      <w:instrText xml:space="preserve"> PAGE   \* MERGEFORMAT </w:instrText>
    </w:r>
    <w:r w:rsidRPr="00926480">
      <w:rPr>
        <w:sz w:val="21"/>
        <w:szCs w:val="21"/>
      </w:rPr>
      <w:fldChar w:fldCharType="separate"/>
    </w:r>
    <w:r w:rsidRPr="00926480">
      <w:rPr>
        <w:b/>
        <w:bCs/>
        <w:noProof/>
        <w:sz w:val="21"/>
        <w:szCs w:val="21"/>
      </w:rPr>
      <w:t>1</w:t>
    </w:r>
    <w:r w:rsidRPr="00926480">
      <w:rPr>
        <w:b/>
        <w:bCs/>
        <w:noProof/>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D6" w14:textId="77777777" w:rsidR="001B7216" w:rsidRDefault="001B7216">
    <w:pPr>
      <w:pStyle w:val="a9"/>
    </w:pPr>
  </w:p>
  <w:p w14:paraId="582D8AFF" w14:textId="77777777" w:rsidR="001B7216" w:rsidRDefault="001B7216">
    <w:pPr>
      <w:pStyle w:val="a9"/>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4AD8E" w14:textId="77777777" w:rsidR="007D3DC9" w:rsidRDefault="007D3DC9">
      <w:pPr>
        <w:spacing w:after="0"/>
      </w:pPr>
      <w:r>
        <w:separator/>
      </w:r>
    </w:p>
  </w:footnote>
  <w:footnote w:type="continuationSeparator" w:id="0">
    <w:p w14:paraId="07DD1738" w14:textId="77777777" w:rsidR="007D3DC9" w:rsidRDefault="007D3DC9">
      <w:pPr>
        <w:spacing w:after="0"/>
      </w:pPr>
      <w:r>
        <w:continuationSeparator/>
      </w:r>
    </w:p>
  </w:footnote>
  <w:footnote w:id="1">
    <w:p w14:paraId="644C81DD" w14:textId="44FC7E45" w:rsidR="00BA69E4" w:rsidRPr="002E31F3" w:rsidRDefault="00BA69E4" w:rsidP="00A62D5B">
      <w:pPr>
        <w:pStyle w:val="ab"/>
        <w:jc w:val="both"/>
        <w:rPr>
          <w:rFonts w:ascii="Constantia" w:hAnsi="Constantia"/>
          <w:lang w:val="el-GR"/>
        </w:rPr>
      </w:pPr>
      <w:r w:rsidRPr="00A62D5B">
        <w:rPr>
          <w:rStyle w:val="aa"/>
          <w:rFonts w:ascii="Constantia" w:hAnsi="Constantia"/>
        </w:rPr>
        <w:footnoteRef/>
      </w:r>
      <w:r w:rsidRPr="00A62D5B">
        <w:rPr>
          <w:rFonts w:ascii="Constantia" w:hAnsi="Constantia"/>
          <w:lang w:val="el-GR"/>
        </w:rPr>
        <w:t xml:space="preserve"> Το ερώτημα απαντούν οι ερωτώμενοι που δηλώνουν ότι «Υπάρχουν άνθρωποι που χρειάζονται φροντίδα ή υποστήριξη λόγω χρόνιων προβλημάτων υγείας, αναπηρίας ή λόγω ηλικίας στο νοικοκυριό τους.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FF95" w14:textId="4B155F9D" w:rsidR="00375C70" w:rsidRPr="00375C70" w:rsidRDefault="00375C70" w:rsidP="00375C70">
    <w:pPr>
      <w:spacing w:after="0"/>
      <w:jc w:val="both"/>
      <w:rPr>
        <w:color w:val="7F7F7F" w:themeColor="text1" w:themeTint="80"/>
        <w:sz w:val="28"/>
        <w:szCs w:val="28"/>
        <w:lang w:val="el-G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8637" w14:textId="79C2EE51" w:rsidR="007D51AE" w:rsidRDefault="007D51AE">
    <w:pPr>
      <w:pStyle w:val="ac"/>
      <w:spacing w:before="360"/>
      <w:ind w:left="-1701" w:right="-1298"/>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
      <w:tblW w:w="0" w:type="auto"/>
      <w:tblBorders>
        <w:top w:val="none" w:sz="0" w:space="0" w:color="auto"/>
        <w:left w:val="none" w:sz="0" w:space="0" w:color="auto"/>
        <w:bottom w:val="single" w:sz="4" w:space="0" w:color="2E653E" w:themeColor="accent5" w:themeShade="BF"/>
        <w:right w:val="none" w:sz="0" w:space="0" w:color="auto"/>
        <w:insideH w:val="none" w:sz="0" w:space="0" w:color="auto"/>
        <w:insideV w:val="none" w:sz="0" w:space="0" w:color="auto"/>
      </w:tblBorders>
      <w:tblLook w:val="04A0" w:firstRow="1" w:lastRow="0" w:firstColumn="1" w:lastColumn="0" w:noHBand="0" w:noVBand="1"/>
    </w:tblPr>
    <w:tblGrid>
      <w:gridCol w:w="5807"/>
      <w:gridCol w:w="2687"/>
    </w:tblGrid>
    <w:tr w:rsidR="0023028E" w14:paraId="308317A1" w14:textId="77777777" w:rsidTr="00753489">
      <w:tc>
        <w:tcPr>
          <w:tcW w:w="5807" w:type="dxa"/>
        </w:tcPr>
        <w:p w14:paraId="30BCF602" w14:textId="77777777" w:rsidR="0023028E" w:rsidRDefault="0023028E" w:rsidP="0023028E">
          <w:pPr>
            <w:pStyle w:val="ac"/>
            <w:spacing w:before="360"/>
            <w:ind w:right="-1"/>
          </w:pPr>
          <w:r w:rsidRPr="001B7216">
            <w:t>ΔΕΛΤΙΟ ΣΤΑΤΙΣΤΙΚΗΣ ΠΛΗΡΟΦΟΡΗΣΗΣ</w:t>
          </w:r>
        </w:p>
      </w:tc>
      <w:tc>
        <w:tcPr>
          <w:tcW w:w="2687" w:type="dxa"/>
        </w:tcPr>
        <w:p w14:paraId="5C367714" w14:textId="23C5AADD" w:rsidR="0023028E" w:rsidRPr="001B7216" w:rsidRDefault="0023028E" w:rsidP="0023028E">
          <w:pPr>
            <w:pStyle w:val="ac"/>
            <w:spacing w:before="360"/>
            <w:ind w:right="-1"/>
            <w:jc w:val="right"/>
            <w:rPr>
              <w:lang w:val="el-GR"/>
            </w:rPr>
          </w:pPr>
          <w:r w:rsidRPr="001B7216">
            <w:t>202</w:t>
          </w:r>
          <w:r w:rsidR="001E6E22">
            <w:rPr>
              <w:lang w:val="el-GR"/>
            </w:rPr>
            <w:t>6</w:t>
          </w:r>
          <w:r w:rsidRPr="001B7216">
            <w:t xml:space="preserve"> </w:t>
          </w:r>
          <w:r>
            <w:sym w:font="Wingdings 2" w:char="F097"/>
          </w:r>
          <w:r>
            <w:rPr>
              <w:lang w:val="el-GR"/>
            </w:rPr>
            <w:t xml:space="preserve"> Τεύχος </w:t>
          </w:r>
          <w:r w:rsidR="001E6E22">
            <w:rPr>
              <w:lang w:val="el-GR"/>
            </w:rPr>
            <w:t>1</w:t>
          </w:r>
        </w:p>
      </w:tc>
    </w:tr>
  </w:tbl>
  <w:p w14:paraId="680B91EC" w14:textId="77777777" w:rsidR="0023028E" w:rsidRPr="0023028E" w:rsidRDefault="0023028E" w:rsidP="00375C70">
    <w:pPr>
      <w:spacing w:after="0"/>
      <w:jc w:val="both"/>
      <w:rPr>
        <w:sz w:val="24"/>
        <w:szCs w:val="24"/>
        <w:lang w:val="el-G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
      <w:tblW w:w="0" w:type="auto"/>
      <w:tblBorders>
        <w:top w:val="none" w:sz="0" w:space="0" w:color="auto"/>
        <w:left w:val="none" w:sz="0" w:space="0" w:color="auto"/>
        <w:bottom w:val="single" w:sz="4" w:space="0" w:color="2E653E" w:themeColor="accent5" w:themeShade="BF"/>
        <w:right w:val="none" w:sz="0" w:space="0" w:color="auto"/>
        <w:insideH w:val="none" w:sz="0" w:space="0" w:color="auto"/>
        <w:insideV w:val="none" w:sz="0" w:space="0" w:color="auto"/>
      </w:tblBorders>
      <w:tblLook w:val="04A0" w:firstRow="1" w:lastRow="0" w:firstColumn="1" w:lastColumn="0" w:noHBand="0" w:noVBand="1"/>
    </w:tblPr>
    <w:tblGrid>
      <w:gridCol w:w="5807"/>
      <w:gridCol w:w="2687"/>
    </w:tblGrid>
    <w:tr w:rsidR="001B7216" w14:paraId="5B8C4524" w14:textId="77777777" w:rsidTr="001B7216">
      <w:tc>
        <w:tcPr>
          <w:tcW w:w="5807" w:type="dxa"/>
        </w:tcPr>
        <w:p w14:paraId="049B122D" w14:textId="4A356EC6" w:rsidR="001B7216" w:rsidRDefault="001B7216" w:rsidP="001B7216">
          <w:pPr>
            <w:pStyle w:val="ac"/>
            <w:spacing w:before="360"/>
            <w:ind w:right="-1"/>
          </w:pPr>
          <w:r w:rsidRPr="001B7216">
            <w:t>ΔΕΛΤΙΟ ΣΤΑΤΙΣΤΙΚΗΣ ΠΛΗΡΟΦΟΡΗΣΗΣ</w:t>
          </w:r>
        </w:p>
      </w:tc>
      <w:tc>
        <w:tcPr>
          <w:tcW w:w="2687" w:type="dxa"/>
        </w:tcPr>
        <w:p w14:paraId="4C14F874" w14:textId="379A5BDE" w:rsidR="001B7216" w:rsidRPr="001B7216" w:rsidRDefault="001B7216" w:rsidP="001B7216">
          <w:pPr>
            <w:pStyle w:val="ac"/>
            <w:spacing w:before="360"/>
            <w:ind w:right="-1"/>
            <w:jc w:val="right"/>
            <w:rPr>
              <w:lang w:val="el-GR"/>
            </w:rPr>
          </w:pPr>
          <w:r w:rsidRPr="001B7216">
            <w:t xml:space="preserve">2025 </w:t>
          </w:r>
          <w:r>
            <w:sym w:font="Wingdings 2" w:char="F097"/>
          </w:r>
          <w:r>
            <w:rPr>
              <w:lang w:val="el-GR"/>
            </w:rPr>
            <w:t xml:space="preserve"> Τεύχος 3</w:t>
          </w:r>
        </w:p>
      </w:tc>
    </w:tr>
  </w:tbl>
  <w:p w14:paraId="66A37E55" w14:textId="77777777" w:rsidR="001B7216" w:rsidRDefault="001B7216" w:rsidP="001B7216">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8FA6044"/>
    <w:multiLevelType w:val="hybridMultilevel"/>
    <w:tmpl w:val="E404F3D6"/>
    <w:lvl w:ilvl="0" w:tplc="1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CE6331C"/>
    <w:multiLevelType w:val="hybridMultilevel"/>
    <w:tmpl w:val="4266BD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05B4C92"/>
    <w:multiLevelType w:val="hybridMultilevel"/>
    <w:tmpl w:val="726C2A56"/>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4D6318"/>
    <w:multiLevelType w:val="multilevel"/>
    <w:tmpl w:val="04090025"/>
    <w:styleLink w:val="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2F00CA9"/>
    <w:multiLevelType w:val="multilevel"/>
    <w:tmpl w:val="10000025"/>
    <w:lvl w:ilvl="0">
      <w:start w:val="1"/>
      <w:numFmt w:val="decimal"/>
      <w:pStyle w:val="10"/>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6" w15:restartNumberingAfterBreak="0">
    <w:nsid w:val="6C3A2E0B"/>
    <w:multiLevelType w:val="multilevel"/>
    <w:tmpl w:val="416AF128"/>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333412D"/>
    <w:multiLevelType w:val="multilevel"/>
    <w:tmpl w:val="1000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318534517">
    <w:abstractNumId w:val="5"/>
  </w:num>
  <w:num w:numId="2" w16cid:durableId="504902417">
    <w:abstractNumId w:val="4"/>
  </w:num>
  <w:num w:numId="3" w16cid:durableId="481193514">
    <w:abstractNumId w:val="0"/>
  </w:num>
  <w:num w:numId="4" w16cid:durableId="141774560">
    <w:abstractNumId w:val="6"/>
  </w:num>
  <w:num w:numId="5" w16cid:durableId="2023431434">
    <w:abstractNumId w:val="3"/>
  </w:num>
  <w:num w:numId="6" w16cid:durableId="1806386581">
    <w:abstractNumId w:val="2"/>
  </w:num>
  <w:num w:numId="7" w16cid:durableId="1376002165">
    <w:abstractNumId w:val="1"/>
  </w:num>
  <w:num w:numId="8" w16cid:durableId="311452653">
    <w:abstractNumId w:val="5"/>
  </w:num>
  <w:num w:numId="9" w16cid:durableId="1929000152">
    <w:abstractNumId w:val="5"/>
  </w:num>
  <w:num w:numId="10" w16cid:durableId="1442912678">
    <w:abstractNumId w:val="5"/>
  </w:num>
  <w:num w:numId="11" w16cid:durableId="206378911">
    <w:abstractNumId w:val="5"/>
  </w:num>
  <w:num w:numId="12" w16cid:durableId="918828027">
    <w:abstractNumId w:val="7"/>
  </w:num>
  <w:num w:numId="13" w16cid:durableId="1260868057">
    <w:abstractNumId w:val="5"/>
  </w:num>
  <w:num w:numId="14" w16cid:durableId="526530878">
    <w:abstractNumId w:val="5"/>
  </w:num>
  <w:num w:numId="15" w16cid:durableId="662851300">
    <w:abstractNumId w:val="5"/>
  </w:num>
  <w:num w:numId="16" w16cid:durableId="1532064506">
    <w:abstractNumId w:val="5"/>
  </w:num>
  <w:num w:numId="17" w16cid:durableId="360060256">
    <w:abstractNumId w:val="5"/>
  </w:num>
  <w:num w:numId="18" w16cid:durableId="893664139">
    <w:abstractNumId w:val="5"/>
  </w:num>
  <w:num w:numId="19" w16cid:durableId="532422426">
    <w:abstractNumId w:val="5"/>
  </w:num>
  <w:num w:numId="20" w16cid:durableId="1627156181">
    <w:abstractNumId w:val="5"/>
  </w:num>
  <w:num w:numId="21" w16cid:durableId="722292755">
    <w:abstractNumId w:val="5"/>
  </w:num>
  <w:num w:numId="22" w16cid:durableId="1417092902">
    <w:abstractNumId w:val="5"/>
  </w:num>
  <w:num w:numId="23" w16cid:durableId="810176205">
    <w:abstractNumId w:val="5"/>
  </w:num>
  <w:num w:numId="24" w16cid:durableId="1575967972">
    <w:abstractNumId w:val="5"/>
  </w:num>
  <w:num w:numId="25" w16cid:durableId="820316099">
    <w:abstractNumId w:val="5"/>
  </w:num>
  <w:num w:numId="26" w16cid:durableId="1616060667">
    <w:abstractNumId w:val="5"/>
  </w:num>
  <w:num w:numId="27" w16cid:durableId="2001615028">
    <w:abstractNumId w:val="5"/>
  </w:num>
  <w:num w:numId="28" w16cid:durableId="62057521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FB2"/>
    <w:rsid w:val="00000401"/>
    <w:rsid w:val="00000F04"/>
    <w:rsid w:val="00001B0E"/>
    <w:rsid w:val="00001C48"/>
    <w:rsid w:val="0000287E"/>
    <w:rsid w:val="00004A64"/>
    <w:rsid w:val="00004EFF"/>
    <w:rsid w:val="00004F59"/>
    <w:rsid w:val="00006238"/>
    <w:rsid w:val="00010D6F"/>
    <w:rsid w:val="0001136E"/>
    <w:rsid w:val="00011632"/>
    <w:rsid w:val="00013C12"/>
    <w:rsid w:val="000141B9"/>
    <w:rsid w:val="0001569F"/>
    <w:rsid w:val="00016989"/>
    <w:rsid w:val="00016D4A"/>
    <w:rsid w:val="0002091C"/>
    <w:rsid w:val="00020C87"/>
    <w:rsid w:val="00022E12"/>
    <w:rsid w:val="000235A7"/>
    <w:rsid w:val="00023EA3"/>
    <w:rsid w:val="000251A7"/>
    <w:rsid w:val="00025553"/>
    <w:rsid w:val="00025A72"/>
    <w:rsid w:val="00026292"/>
    <w:rsid w:val="00026AD9"/>
    <w:rsid w:val="00026DEE"/>
    <w:rsid w:val="0002706F"/>
    <w:rsid w:val="00027340"/>
    <w:rsid w:val="00027487"/>
    <w:rsid w:val="000277EF"/>
    <w:rsid w:val="00027AA3"/>
    <w:rsid w:val="00030659"/>
    <w:rsid w:val="00030AC1"/>
    <w:rsid w:val="00030B4F"/>
    <w:rsid w:val="00030B66"/>
    <w:rsid w:val="0003219C"/>
    <w:rsid w:val="000326C8"/>
    <w:rsid w:val="00032998"/>
    <w:rsid w:val="000329A2"/>
    <w:rsid w:val="00033E31"/>
    <w:rsid w:val="0003410A"/>
    <w:rsid w:val="00034FCC"/>
    <w:rsid w:val="000350F5"/>
    <w:rsid w:val="00035153"/>
    <w:rsid w:val="00036148"/>
    <w:rsid w:val="00036267"/>
    <w:rsid w:val="000364EB"/>
    <w:rsid w:val="00036AFB"/>
    <w:rsid w:val="00036E31"/>
    <w:rsid w:val="0003746F"/>
    <w:rsid w:val="00037760"/>
    <w:rsid w:val="000401D1"/>
    <w:rsid w:val="00040C1E"/>
    <w:rsid w:val="00040CA9"/>
    <w:rsid w:val="000431CF"/>
    <w:rsid w:val="00044D92"/>
    <w:rsid w:val="00045C42"/>
    <w:rsid w:val="00046688"/>
    <w:rsid w:val="00047068"/>
    <w:rsid w:val="000476D6"/>
    <w:rsid w:val="0004785C"/>
    <w:rsid w:val="00050137"/>
    <w:rsid w:val="000514F1"/>
    <w:rsid w:val="00051811"/>
    <w:rsid w:val="00053EC9"/>
    <w:rsid w:val="00053EFC"/>
    <w:rsid w:val="0005407D"/>
    <w:rsid w:val="00054C66"/>
    <w:rsid w:val="00056783"/>
    <w:rsid w:val="000568F8"/>
    <w:rsid w:val="00056984"/>
    <w:rsid w:val="00057501"/>
    <w:rsid w:val="00057539"/>
    <w:rsid w:val="00057811"/>
    <w:rsid w:val="0005793A"/>
    <w:rsid w:val="00060355"/>
    <w:rsid w:val="000603B1"/>
    <w:rsid w:val="00060F80"/>
    <w:rsid w:val="0006162C"/>
    <w:rsid w:val="00062552"/>
    <w:rsid w:val="00063077"/>
    <w:rsid w:val="0006321F"/>
    <w:rsid w:val="00064787"/>
    <w:rsid w:val="00064A90"/>
    <w:rsid w:val="00064AB8"/>
    <w:rsid w:val="00064AC8"/>
    <w:rsid w:val="00064DB2"/>
    <w:rsid w:val="000655AA"/>
    <w:rsid w:val="000659CC"/>
    <w:rsid w:val="000664D0"/>
    <w:rsid w:val="00066546"/>
    <w:rsid w:val="000674F2"/>
    <w:rsid w:val="00067CD5"/>
    <w:rsid w:val="0007097C"/>
    <w:rsid w:val="00071E02"/>
    <w:rsid w:val="000722E3"/>
    <w:rsid w:val="000723D3"/>
    <w:rsid w:val="00073C36"/>
    <w:rsid w:val="00074BA8"/>
    <w:rsid w:val="00074F40"/>
    <w:rsid w:val="000767A8"/>
    <w:rsid w:val="00076819"/>
    <w:rsid w:val="000769FF"/>
    <w:rsid w:val="0007702B"/>
    <w:rsid w:val="00080E7B"/>
    <w:rsid w:val="00080F8C"/>
    <w:rsid w:val="000817A1"/>
    <w:rsid w:val="00081EB3"/>
    <w:rsid w:val="000825F5"/>
    <w:rsid w:val="00082630"/>
    <w:rsid w:val="00082A5A"/>
    <w:rsid w:val="00083EBB"/>
    <w:rsid w:val="00083F90"/>
    <w:rsid w:val="00085342"/>
    <w:rsid w:val="00085F68"/>
    <w:rsid w:val="00086033"/>
    <w:rsid w:val="0008750C"/>
    <w:rsid w:val="00091429"/>
    <w:rsid w:val="000928C5"/>
    <w:rsid w:val="00093E9D"/>
    <w:rsid w:val="00095D5C"/>
    <w:rsid w:val="00095F0B"/>
    <w:rsid w:val="00096618"/>
    <w:rsid w:val="00097592"/>
    <w:rsid w:val="000A3589"/>
    <w:rsid w:val="000A37BA"/>
    <w:rsid w:val="000A4359"/>
    <w:rsid w:val="000A47F8"/>
    <w:rsid w:val="000A67ED"/>
    <w:rsid w:val="000A68D5"/>
    <w:rsid w:val="000A7205"/>
    <w:rsid w:val="000A7708"/>
    <w:rsid w:val="000B0461"/>
    <w:rsid w:val="000B0FDE"/>
    <w:rsid w:val="000B1003"/>
    <w:rsid w:val="000B3814"/>
    <w:rsid w:val="000B3D31"/>
    <w:rsid w:val="000B4015"/>
    <w:rsid w:val="000B4243"/>
    <w:rsid w:val="000B4AC4"/>
    <w:rsid w:val="000B4DF3"/>
    <w:rsid w:val="000B6006"/>
    <w:rsid w:val="000B6438"/>
    <w:rsid w:val="000B790C"/>
    <w:rsid w:val="000B7F76"/>
    <w:rsid w:val="000C037E"/>
    <w:rsid w:val="000C2646"/>
    <w:rsid w:val="000C28D2"/>
    <w:rsid w:val="000C318A"/>
    <w:rsid w:val="000C33EE"/>
    <w:rsid w:val="000C4095"/>
    <w:rsid w:val="000C40F9"/>
    <w:rsid w:val="000C54CC"/>
    <w:rsid w:val="000C6F93"/>
    <w:rsid w:val="000C75E0"/>
    <w:rsid w:val="000C7AC1"/>
    <w:rsid w:val="000C7D79"/>
    <w:rsid w:val="000D1AD9"/>
    <w:rsid w:val="000D2E29"/>
    <w:rsid w:val="000D2E36"/>
    <w:rsid w:val="000D3BE7"/>
    <w:rsid w:val="000D3C24"/>
    <w:rsid w:val="000D3CAB"/>
    <w:rsid w:val="000D4A31"/>
    <w:rsid w:val="000D4C81"/>
    <w:rsid w:val="000D70C9"/>
    <w:rsid w:val="000E0E48"/>
    <w:rsid w:val="000E1B25"/>
    <w:rsid w:val="000E21F4"/>
    <w:rsid w:val="000E22CF"/>
    <w:rsid w:val="000E2EFC"/>
    <w:rsid w:val="000E37EE"/>
    <w:rsid w:val="000E494A"/>
    <w:rsid w:val="000E4ABF"/>
    <w:rsid w:val="000E4CB0"/>
    <w:rsid w:val="000E51F1"/>
    <w:rsid w:val="000E56E0"/>
    <w:rsid w:val="000E5ABB"/>
    <w:rsid w:val="000E662B"/>
    <w:rsid w:val="000E6AC3"/>
    <w:rsid w:val="000E6AD4"/>
    <w:rsid w:val="000E7D00"/>
    <w:rsid w:val="000F057C"/>
    <w:rsid w:val="000F09D7"/>
    <w:rsid w:val="000F19A4"/>
    <w:rsid w:val="000F1A80"/>
    <w:rsid w:val="000F1BE8"/>
    <w:rsid w:val="000F20A7"/>
    <w:rsid w:val="000F26F8"/>
    <w:rsid w:val="000F32BF"/>
    <w:rsid w:val="000F3C7D"/>
    <w:rsid w:val="000F464E"/>
    <w:rsid w:val="000F4C2F"/>
    <w:rsid w:val="000F7CB7"/>
    <w:rsid w:val="001001A5"/>
    <w:rsid w:val="00101514"/>
    <w:rsid w:val="001016BA"/>
    <w:rsid w:val="00101E3E"/>
    <w:rsid w:val="00101EAF"/>
    <w:rsid w:val="00102193"/>
    <w:rsid w:val="00102B01"/>
    <w:rsid w:val="001030BE"/>
    <w:rsid w:val="00103585"/>
    <w:rsid w:val="0010411B"/>
    <w:rsid w:val="00104126"/>
    <w:rsid w:val="00105644"/>
    <w:rsid w:val="0010691C"/>
    <w:rsid w:val="00107885"/>
    <w:rsid w:val="00107C12"/>
    <w:rsid w:val="00107F11"/>
    <w:rsid w:val="00111513"/>
    <w:rsid w:val="0011470C"/>
    <w:rsid w:val="00114A1F"/>
    <w:rsid w:val="00115050"/>
    <w:rsid w:val="00115383"/>
    <w:rsid w:val="00117798"/>
    <w:rsid w:val="001178DE"/>
    <w:rsid w:val="00117A73"/>
    <w:rsid w:val="00120801"/>
    <w:rsid w:val="001208F8"/>
    <w:rsid w:val="00121FC3"/>
    <w:rsid w:val="001220B2"/>
    <w:rsid w:val="00122357"/>
    <w:rsid w:val="001228E5"/>
    <w:rsid w:val="00122E0D"/>
    <w:rsid w:val="001240F2"/>
    <w:rsid w:val="001241AA"/>
    <w:rsid w:val="00124938"/>
    <w:rsid w:val="00124A66"/>
    <w:rsid w:val="001254A2"/>
    <w:rsid w:val="00125908"/>
    <w:rsid w:val="00125C41"/>
    <w:rsid w:val="001274E9"/>
    <w:rsid w:val="00127A30"/>
    <w:rsid w:val="00127A93"/>
    <w:rsid w:val="00127F88"/>
    <w:rsid w:val="00130F9F"/>
    <w:rsid w:val="0013268C"/>
    <w:rsid w:val="00133290"/>
    <w:rsid w:val="0013349F"/>
    <w:rsid w:val="0013471D"/>
    <w:rsid w:val="00135882"/>
    <w:rsid w:val="00135C22"/>
    <w:rsid w:val="00136067"/>
    <w:rsid w:val="00136322"/>
    <w:rsid w:val="0013767A"/>
    <w:rsid w:val="0013775B"/>
    <w:rsid w:val="001379D4"/>
    <w:rsid w:val="00137E34"/>
    <w:rsid w:val="00140B0F"/>
    <w:rsid w:val="001412B3"/>
    <w:rsid w:val="001419D8"/>
    <w:rsid w:val="00141A47"/>
    <w:rsid w:val="00141FD5"/>
    <w:rsid w:val="00142759"/>
    <w:rsid w:val="00143389"/>
    <w:rsid w:val="00143650"/>
    <w:rsid w:val="001453ED"/>
    <w:rsid w:val="00146455"/>
    <w:rsid w:val="0014671D"/>
    <w:rsid w:val="00147711"/>
    <w:rsid w:val="0014790E"/>
    <w:rsid w:val="00147AB1"/>
    <w:rsid w:val="00150307"/>
    <w:rsid w:val="00152A10"/>
    <w:rsid w:val="001553C1"/>
    <w:rsid w:val="00155A8F"/>
    <w:rsid w:val="00155B1B"/>
    <w:rsid w:val="00155B9C"/>
    <w:rsid w:val="00155BDC"/>
    <w:rsid w:val="00156294"/>
    <w:rsid w:val="0015674F"/>
    <w:rsid w:val="00156A87"/>
    <w:rsid w:val="001600E4"/>
    <w:rsid w:val="001612A5"/>
    <w:rsid w:val="001614AC"/>
    <w:rsid w:val="001615F4"/>
    <w:rsid w:val="001623D3"/>
    <w:rsid w:val="00162860"/>
    <w:rsid w:val="001637C5"/>
    <w:rsid w:val="00163E31"/>
    <w:rsid w:val="001644F4"/>
    <w:rsid w:val="001645B6"/>
    <w:rsid w:val="001647E0"/>
    <w:rsid w:val="00164C3B"/>
    <w:rsid w:val="0016570D"/>
    <w:rsid w:val="00165B56"/>
    <w:rsid w:val="00165F59"/>
    <w:rsid w:val="0016630F"/>
    <w:rsid w:val="001668D7"/>
    <w:rsid w:val="00166C4F"/>
    <w:rsid w:val="00167E48"/>
    <w:rsid w:val="0017007C"/>
    <w:rsid w:val="001700B1"/>
    <w:rsid w:val="00170112"/>
    <w:rsid w:val="00172F99"/>
    <w:rsid w:val="00173737"/>
    <w:rsid w:val="00173D7F"/>
    <w:rsid w:val="00174640"/>
    <w:rsid w:val="00175055"/>
    <w:rsid w:val="001755B7"/>
    <w:rsid w:val="001755B8"/>
    <w:rsid w:val="00175766"/>
    <w:rsid w:val="001758FE"/>
    <w:rsid w:val="0017715F"/>
    <w:rsid w:val="0017750C"/>
    <w:rsid w:val="00177DE2"/>
    <w:rsid w:val="00180F0E"/>
    <w:rsid w:val="00181D14"/>
    <w:rsid w:val="00181FA0"/>
    <w:rsid w:val="001824E5"/>
    <w:rsid w:val="00182BD8"/>
    <w:rsid w:val="0018317E"/>
    <w:rsid w:val="00184DBD"/>
    <w:rsid w:val="00185AC3"/>
    <w:rsid w:val="00185F6C"/>
    <w:rsid w:val="001861A9"/>
    <w:rsid w:val="001869DE"/>
    <w:rsid w:val="00187677"/>
    <w:rsid w:val="00190721"/>
    <w:rsid w:val="001912EA"/>
    <w:rsid w:val="00191617"/>
    <w:rsid w:val="00192299"/>
    <w:rsid w:val="0019273B"/>
    <w:rsid w:val="00192DE8"/>
    <w:rsid w:val="00192E40"/>
    <w:rsid w:val="00193C8C"/>
    <w:rsid w:val="0019543B"/>
    <w:rsid w:val="00195DDA"/>
    <w:rsid w:val="00195EFF"/>
    <w:rsid w:val="00196815"/>
    <w:rsid w:val="00196E8E"/>
    <w:rsid w:val="00197483"/>
    <w:rsid w:val="00197632"/>
    <w:rsid w:val="0019781C"/>
    <w:rsid w:val="0019795A"/>
    <w:rsid w:val="00197F60"/>
    <w:rsid w:val="001A02FC"/>
    <w:rsid w:val="001A0A17"/>
    <w:rsid w:val="001A0D2C"/>
    <w:rsid w:val="001A0DAE"/>
    <w:rsid w:val="001A0E0A"/>
    <w:rsid w:val="001A157B"/>
    <w:rsid w:val="001A2A51"/>
    <w:rsid w:val="001A2DB2"/>
    <w:rsid w:val="001A2EF1"/>
    <w:rsid w:val="001A3B5D"/>
    <w:rsid w:val="001A415E"/>
    <w:rsid w:val="001A4803"/>
    <w:rsid w:val="001A4B01"/>
    <w:rsid w:val="001A4B99"/>
    <w:rsid w:val="001A766F"/>
    <w:rsid w:val="001A78F7"/>
    <w:rsid w:val="001B08FE"/>
    <w:rsid w:val="001B0A13"/>
    <w:rsid w:val="001B1CE7"/>
    <w:rsid w:val="001B22E8"/>
    <w:rsid w:val="001B2554"/>
    <w:rsid w:val="001B2983"/>
    <w:rsid w:val="001B3101"/>
    <w:rsid w:val="001B38E7"/>
    <w:rsid w:val="001B3FF5"/>
    <w:rsid w:val="001B5099"/>
    <w:rsid w:val="001B7216"/>
    <w:rsid w:val="001B7609"/>
    <w:rsid w:val="001C0348"/>
    <w:rsid w:val="001C03B2"/>
    <w:rsid w:val="001C086F"/>
    <w:rsid w:val="001C153F"/>
    <w:rsid w:val="001C1F90"/>
    <w:rsid w:val="001C3CFE"/>
    <w:rsid w:val="001C503D"/>
    <w:rsid w:val="001C57AF"/>
    <w:rsid w:val="001C5C5D"/>
    <w:rsid w:val="001C6D9B"/>
    <w:rsid w:val="001C752A"/>
    <w:rsid w:val="001D00EE"/>
    <w:rsid w:val="001D0A17"/>
    <w:rsid w:val="001D137C"/>
    <w:rsid w:val="001D19A9"/>
    <w:rsid w:val="001D2A70"/>
    <w:rsid w:val="001D2EDD"/>
    <w:rsid w:val="001D3091"/>
    <w:rsid w:val="001D35FA"/>
    <w:rsid w:val="001D3672"/>
    <w:rsid w:val="001D37F3"/>
    <w:rsid w:val="001D4818"/>
    <w:rsid w:val="001D4E68"/>
    <w:rsid w:val="001D5992"/>
    <w:rsid w:val="001D5F1A"/>
    <w:rsid w:val="001D6A57"/>
    <w:rsid w:val="001D6FC1"/>
    <w:rsid w:val="001D722B"/>
    <w:rsid w:val="001D74D2"/>
    <w:rsid w:val="001D764A"/>
    <w:rsid w:val="001E04ED"/>
    <w:rsid w:val="001E12EA"/>
    <w:rsid w:val="001E323F"/>
    <w:rsid w:val="001E3A64"/>
    <w:rsid w:val="001E48DB"/>
    <w:rsid w:val="001E4AC0"/>
    <w:rsid w:val="001E62B3"/>
    <w:rsid w:val="001E6AAF"/>
    <w:rsid w:val="001E6E22"/>
    <w:rsid w:val="001E7BA9"/>
    <w:rsid w:val="001F1DDB"/>
    <w:rsid w:val="001F2672"/>
    <w:rsid w:val="001F3B9B"/>
    <w:rsid w:val="001F4A63"/>
    <w:rsid w:val="001F52C8"/>
    <w:rsid w:val="001F5BB9"/>
    <w:rsid w:val="001F63F0"/>
    <w:rsid w:val="001F6A5E"/>
    <w:rsid w:val="001F6EF6"/>
    <w:rsid w:val="001F7564"/>
    <w:rsid w:val="002002E3"/>
    <w:rsid w:val="00200897"/>
    <w:rsid w:val="00200BE7"/>
    <w:rsid w:val="0020258C"/>
    <w:rsid w:val="0020260D"/>
    <w:rsid w:val="0020370F"/>
    <w:rsid w:val="002039C0"/>
    <w:rsid w:val="00203B05"/>
    <w:rsid w:val="00203EB7"/>
    <w:rsid w:val="00204642"/>
    <w:rsid w:val="00204986"/>
    <w:rsid w:val="00206058"/>
    <w:rsid w:val="002073FF"/>
    <w:rsid w:val="00207A89"/>
    <w:rsid w:val="002111E5"/>
    <w:rsid w:val="002116D5"/>
    <w:rsid w:val="00211A50"/>
    <w:rsid w:val="00212CC9"/>
    <w:rsid w:val="00212FFF"/>
    <w:rsid w:val="0021310E"/>
    <w:rsid w:val="00213404"/>
    <w:rsid w:val="002144EA"/>
    <w:rsid w:val="00214700"/>
    <w:rsid w:val="00214EBA"/>
    <w:rsid w:val="0021573C"/>
    <w:rsid w:val="002157AD"/>
    <w:rsid w:val="00216669"/>
    <w:rsid w:val="0021728C"/>
    <w:rsid w:val="002201F2"/>
    <w:rsid w:val="00222527"/>
    <w:rsid w:val="00222C20"/>
    <w:rsid w:val="002250FA"/>
    <w:rsid w:val="00225304"/>
    <w:rsid w:val="00225305"/>
    <w:rsid w:val="00225537"/>
    <w:rsid w:val="002261CA"/>
    <w:rsid w:val="002267EB"/>
    <w:rsid w:val="002269B0"/>
    <w:rsid w:val="00227C7F"/>
    <w:rsid w:val="00227ECE"/>
    <w:rsid w:val="0023028E"/>
    <w:rsid w:val="002309C0"/>
    <w:rsid w:val="00230FEB"/>
    <w:rsid w:val="00231092"/>
    <w:rsid w:val="002313EC"/>
    <w:rsid w:val="00231D4F"/>
    <w:rsid w:val="00231F2B"/>
    <w:rsid w:val="00232921"/>
    <w:rsid w:val="00232D4D"/>
    <w:rsid w:val="00233A09"/>
    <w:rsid w:val="00235081"/>
    <w:rsid w:val="002350D8"/>
    <w:rsid w:val="0023531A"/>
    <w:rsid w:val="002358EA"/>
    <w:rsid w:val="00235A0C"/>
    <w:rsid w:val="00235D14"/>
    <w:rsid w:val="002369C6"/>
    <w:rsid w:val="00236EB1"/>
    <w:rsid w:val="00237E8E"/>
    <w:rsid w:val="0024145D"/>
    <w:rsid w:val="002430DA"/>
    <w:rsid w:val="0024323F"/>
    <w:rsid w:val="0024363C"/>
    <w:rsid w:val="00244749"/>
    <w:rsid w:val="00245176"/>
    <w:rsid w:val="00245597"/>
    <w:rsid w:val="00246088"/>
    <w:rsid w:val="00246356"/>
    <w:rsid w:val="00246EDE"/>
    <w:rsid w:val="00247073"/>
    <w:rsid w:val="0024776C"/>
    <w:rsid w:val="002521B4"/>
    <w:rsid w:val="00253166"/>
    <w:rsid w:val="00253A53"/>
    <w:rsid w:val="00254934"/>
    <w:rsid w:val="00254B28"/>
    <w:rsid w:val="00254B70"/>
    <w:rsid w:val="00255BAD"/>
    <w:rsid w:val="002561F5"/>
    <w:rsid w:val="0025661F"/>
    <w:rsid w:val="00257015"/>
    <w:rsid w:val="00257BD8"/>
    <w:rsid w:val="00260620"/>
    <w:rsid w:val="00260D0E"/>
    <w:rsid w:val="00262178"/>
    <w:rsid w:val="00263D20"/>
    <w:rsid w:val="002640C3"/>
    <w:rsid w:val="0026429F"/>
    <w:rsid w:val="002644C7"/>
    <w:rsid w:val="002648EF"/>
    <w:rsid w:val="0026536B"/>
    <w:rsid w:val="002653D4"/>
    <w:rsid w:val="002668BB"/>
    <w:rsid w:val="002669F4"/>
    <w:rsid w:val="00267765"/>
    <w:rsid w:val="002679EF"/>
    <w:rsid w:val="00271088"/>
    <w:rsid w:val="002710F5"/>
    <w:rsid w:val="00271EC1"/>
    <w:rsid w:val="00272C22"/>
    <w:rsid w:val="00273C2C"/>
    <w:rsid w:val="00273E07"/>
    <w:rsid w:val="0027406D"/>
    <w:rsid w:val="00274357"/>
    <w:rsid w:val="00275014"/>
    <w:rsid w:val="00275553"/>
    <w:rsid w:val="0027752E"/>
    <w:rsid w:val="00277FC6"/>
    <w:rsid w:val="002803CB"/>
    <w:rsid w:val="00281166"/>
    <w:rsid w:val="00282458"/>
    <w:rsid w:val="002835DA"/>
    <w:rsid w:val="00283ECB"/>
    <w:rsid w:val="00285961"/>
    <w:rsid w:val="00290406"/>
    <w:rsid w:val="002910B5"/>
    <w:rsid w:val="00291173"/>
    <w:rsid w:val="0029188B"/>
    <w:rsid w:val="00291A1F"/>
    <w:rsid w:val="0029276C"/>
    <w:rsid w:val="00293743"/>
    <w:rsid w:val="0029431E"/>
    <w:rsid w:val="002943E5"/>
    <w:rsid w:val="00294795"/>
    <w:rsid w:val="002956E5"/>
    <w:rsid w:val="00295949"/>
    <w:rsid w:val="00297B4E"/>
    <w:rsid w:val="002A09DB"/>
    <w:rsid w:val="002A1383"/>
    <w:rsid w:val="002A1BE9"/>
    <w:rsid w:val="002A1C99"/>
    <w:rsid w:val="002A2355"/>
    <w:rsid w:val="002A2BAE"/>
    <w:rsid w:val="002A3AA8"/>
    <w:rsid w:val="002A4671"/>
    <w:rsid w:val="002A52A1"/>
    <w:rsid w:val="002A52C8"/>
    <w:rsid w:val="002A5A3A"/>
    <w:rsid w:val="002A5E5A"/>
    <w:rsid w:val="002A7F9A"/>
    <w:rsid w:val="002B0AD5"/>
    <w:rsid w:val="002B0F74"/>
    <w:rsid w:val="002B1568"/>
    <w:rsid w:val="002B16EC"/>
    <w:rsid w:val="002B292D"/>
    <w:rsid w:val="002B2E7D"/>
    <w:rsid w:val="002B2EB9"/>
    <w:rsid w:val="002B316F"/>
    <w:rsid w:val="002B508B"/>
    <w:rsid w:val="002B59B0"/>
    <w:rsid w:val="002B6A65"/>
    <w:rsid w:val="002B6E3E"/>
    <w:rsid w:val="002C0A1C"/>
    <w:rsid w:val="002C0B3C"/>
    <w:rsid w:val="002C0BE8"/>
    <w:rsid w:val="002C10B1"/>
    <w:rsid w:val="002C113D"/>
    <w:rsid w:val="002C2221"/>
    <w:rsid w:val="002C2572"/>
    <w:rsid w:val="002C3718"/>
    <w:rsid w:val="002C47EE"/>
    <w:rsid w:val="002C4D68"/>
    <w:rsid w:val="002C52CE"/>
    <w:rsid w:val="002C5A76"/>
    <w:rsid w:val="002C5DE1"/>
    <w:rsid w:val="002C6570"/>
    <w:rsid w:val="002C71A4"/>
    <w:rsid w:val="002C75E5"/>
    <w:rsid w:val="002C7C23"/>
    <w:rsid w:val="002D072A"/>
    <w:rsid w:val="002D0B63"/>
    <w:rsid w:val="002D0E42"/>
    <w:rsid w:val="002D115E"/>
    <w:rsid w:val="002D1D04"/>
    <w:rsid w:val="002D2023"/>
    <w:rsid w:val="002D2673"/>
    <w:rsid w:val="002D37CA"/>
    <w:rsid w:val="002D395C"/>
    <w:rsid w:val="002D3EEB"/>
    <w:rsid w:val="002D40C5"/>
    <w:rsid w:val="002D557F"/>
    <w:rsid w:val="002D6209"/>
    <w:rsid w:val="002D679C"/>
    <w:rsid w:val="002D7011"/>
    <w:rsid w:val="002D70C9"/>
    <w:rsid w:val="002D7418"/>
    <w:rsid w:val="002D7B7A"/>
    <w:rsid w:val="002E06AB"/>
    <w:rsid w:val="002E13B5"/>
    <w:rsid w:val="002E161F"/>
    <w:rsid w:val="002E29C0"/>
    <w:rsid w:val="002E3124"/>
    <w:rsid w:val="002E31F3"/>
    <w:rsid w:val="002E3266"/>
    <w:rsid w:val="002E378C"/>
    <w:rsid w:val="002E45AD"/>
    <w:rsid w:val="002E4CB4"/>
    <w:rsid w:val="002E5997"/>
    <w:rsid w:val="002E60B3"/>
    <w:rsid w:val="002E6272"/>
    <w:rsid w:val="002E70E3"/>
    <w:rsid w:val="002E7347"/>
    <w:rsid w:val="002E7665"/>
    <w:rsid w:val="002E7B62"/>
    <w:rsid w:val="002F00F5"/>
    <w:rsid w:val="002F03FF"/>
    <w:rsid w:val="002F1E9B"/>
    <w:rsid w:val="002F1EC5"/>
    <w:rsid w:val="002F2388"/>
    <w:rsid w:val="002F45E8"/>
    <w:rsid w:val="002F4B34"/>
    <w:rsid w:val="002F56E7"/>
    <w:rsid w:val="002F5C47"/>
    <w:rsid w:val="002F5DEA"/>
    <w:rsid w:val="002F77B6"/>
    <w:rsid w:val="00300331"/>
    <w:rsid w:val="00301453"/>
    <w:rsid w:val="00301FD6"/>
    <w:rsid w:val="00302DC9"/>
    <w:rsid w:val="0030347E"/>
    <w:rsid w:val="00303E53"/>
    <w:rsid w:val="00304086"/>
    <w:rsid w:val="0030416A"/>
    <w:rsid w:val="00305F28"/>
    <w:rsid w:val="00306EBA"/>
    <w:rsid w:val="00306F87"/>
    <w:rsid w:val="003070F3"/>
    <w:rsid w:val="00315B61"/>
    <w:rsid w:val="003161F4"/>
    <w:rsid w:val="00316412"/>
    <w:rsid w:val="00316833"/>
    <w:rsid w:val="00316B0A"/>
    <w:rsid w:val="00317A10"/>
    <w:rsid w:val="00317D0D"/>
    <w:rsid w:val="00317ED8"/>
    <w:rsid w:val="003201B9"/>
    <w:rsid w:val="0032045D"/>
    <w:rsid w:val="00321450"/>
    <w:rsid w:val="00322550"/>
    <w:rsid w:val="00323EF5"/>
    <w:rsid w:val="00324516"/>
    <w:rsid w:val="00324D05"/>
    <w:rsid w:val="00324D53"/>
    <w:rsid w:val="0032679F"/>
    <w:rsid w:val="00326A57"/>
    <w:rsid w:val="00326B58"/>
    <w:rsid w:val="003275A4"/>
    <w:rsid w:val="003276EB"/>
    <w:rsid w:val="00331DFE"/>
    <w:rsid w:val="0033245E"/>
    <w:rsid w:val="003330EA"/>
    <w:rsid w:val="00333438"/>
    <w:rsid w:val="00333599"/>
    <w:rsid w:val="00333895"/>
    <w:rsid w:val="0033391E"/>
    <w:rsid w:val="00334A96"/>
    <w:rsid w:val="00335087"/>
    <w:rsid w:val="003350FE"/>
    <w:rsid w:val="00335BE3"/>
    <w:rsid w:val="003361D5"/>
    <w:rsid w:val="003363E1"/>
    <w:rsid w:val="00336623"/>
    <w:rsid w:val="00337707"/>
    <w:rsid w:val="00341B31"/>
    <w:rsid w:val="00342280"/>
    <w:rsid w:val="003436DD"/>
    <w:rsid w:val="00343769"/>
    <w:rsid w:val="00343876"/>
    <w:rsid w:val="0034403A"/>
    <w:rsid w:val="00344436"/>
    <w:rsid w:val="00344B44"/>
    <w:rsid w:val="003460F2"/>
    <w:rsid w:val="00347356"/>
    <w:rsid w:val="00347517"/>
    <w:rsid w:val="003478A0"/>
    <w:rsid w:val="00347A10"/>
    <w:rsid w:val="00347FD2"/>
    <w:rsid w:val="003504F6"/>
    <w:rsid w:val="00351FD5"/>
    <w:rsid w:val="003520BD"/>
    <w:rsid w:val="003529E6"/>
    <w:rsid w:val="00352D70"/>
    <w:rsid w:val="003530C9"/>
    <w:rsid w:val="003533B1"/>
    <w:rsid w:val="003533DE"/>
    <w:rsid w:val="00353835"/>
    <w:rsid w:val="00354249"/>
    <w:rsid w:val="00354E9A"/>
    <w:rsid w:val="00355317"/>
    <w:rsid w:val="003570AA"/>
    <w:rsid w:val="003572AC"/>
    <w:rsid w:val="00357E25"/>
    <w:rsid w:val="0036020D"/>
    <w:rsid w:val="0036077E"/>
    <w:rsid w:val="00360CB7"/>
    <w:rsid w:val="00360F1B"/>
    <w:rsid w:val="003621D5"/>
    <w:rsid w:val="003624FC"/>
    <w:rsid w:val="003626C7"/>
    <w:rsid w:val="00362E4B"/>
    <w:rsid w:val="00363494"/>
    <w:rsid w:val="003638B2"/>
    <w:rsid w:val="00363FF6"/>
    <w:rsid w:val="003645F9"/>
    <w:rsid w:val="003652B9"/>
    <w:rsid w:val="00365324"/>
    <w:rsid w:val="00365AD7"/>
    <w:rsid w:val="0036626B"/>
    <w:rsid w:val="00367060"/>
    <w:rsid w:val="003677F5"/>
    <w:rsid w:val="00371608"/>
    <w:rsid w:val="00372060"/>
    <w:rsid w:val="00372803"/>
    <w:rsid w:val="00372818"/>
    <w:rsid w:val="00373A86"/>
    <w:rsid w:val="00373B94"/>
    <w:rsid w:val="00374572"/>
    <w:rsid w:val="003746A6"/>
    <w:rsid w:val="00375C70"/>
    <w:rsid w:val="00377025"/>
    <w:rsid w:val="003775B4"/>
    <w:rsid w:val="003800AB"/>
    <w:rsid w:val="00380154"/>
    <w:rsid w:val="00380183"/>
    <w:rsid w:val="0038030B"/>
    <w:rsid w:val="00381A73"/>
    <w:rsid w:val="00382583"/>
    <w:rsid w:val="003827A0"/>
    <w:rsid w:val="00382CC6"/>
    <w:rsid w:val="00382EFA"/>
    <w:rsid w:val="003843F1"/>
    <w:rsid w:val="0038477D"/>
    <w:rsid w:val="003848BC"/>
    <w:rsid w:val="003855FE"/>
    <w:rsid w:val="0038573B"/>
    <w:rsid w:val="00385E69"/>
    <w:rsid w:val="003861E8"/>
    <w:rsid w:val="00390E5D"/>
    <w:rsid w:val="003910F9"/>
    <w:rsid w:val="0039264E"/>
    <w:rsid w:val="00393F0D"/>
    <w:rsid w:val="00394F81"/>
    <w:rsid w:val="00397072"/>
    <w:rsid w:val="00397933"/>
    <w:rsid w:val="00397972"/>
    <w:rsid w:val="00397A70"/>
    <w:rsid w:val="003A006D"/>
    <w:rsid w:val="003A0273"/>
    <w:rsid w:val="003A0D20"/>
    <w:rsid w:val="003A1BE5"/>
    <w:rsid w:val="003A3495"/>
    <w:rsid w:val="003A34BA"/>
    <w:rsid w:val="003A4054"/>
    <w:rsid w:val="003A48E6"/>
    <w:rsid w:val="003A528D"/>
    <w:rsid w:val="003A55E1"/>
    <w:rsid w:val="003A599D"/>
    <w:rsid w:val="003A5D8D"/>
    <w:rsid w:val="003A6C73"/>
    <w:rsid w:val="003A7E34"/>
    <w:rsid w:val="003B1441"/>
    <w:rsid w:val="003B168D"/>
    <w:rsid w:val="003B1742"/>
    <w:rsid w:val="003B41D9"/>
    <w:rsid w:val="003B4A60"/>
    <w:rsid w:val="003B4C8A"/>
    <w:rsid w:val="003B4D49"/>
    <w:rsid w:val="003B52E6"/>
    <w:rsid w:val="003B54D2"/>
    <w:rsid w:val="003B731F"/>
    <w:rsid w:val="003C0900"/>
    <w:rsid w:val="003C0A09"/>
    <w:rsid w:val="003C0C5D"/>
    <w:rsid w:val="003C0F6F"/>
    <w:rsid w:val="003C1230"/>
    <w:rsid w:val="003C1442"/>
    <w:rsid w:val="003C1E35"/>
    <w:rsid w:val="003C3ECF"/>
    <w:rsid w:val="003C4A75"/>
    <w:rsid w:val="003C5D81"/>
    <w:rsid w:val="003C66F6"/>
    <w:rsid w:val="003C73ED"/>
    <w:rsid w:val="003C7725"/>
    <w:rsid w:val="003D06FB"/>
    <w:rsid w:val="003D15AB"/>
    <w:rsid w:val="003D1CAE"/>
    <w:rsid w:val="003D1DB7"/>
    <w:rsid w:val="003D3956"/>
    <w:rsid w:val="003D411F"/>
    <w:rsid w:val="003D41C5"/>
    <w:rsid w:val="003D5410"/>
    <w:rsid w:val="003D5B0B"/>
    <w:rsid w:val="003D6928"/>
    <w:rsid w:val="003D722C"/>
    <w:rsid w:val="003D74B4"/>
    <w:rsid w:val="003D7554"/>
    <w:rsid w:val="003E0A03"/>
    <w:rsid w:val="003E1175"/>
    <w:rsid w:val="003E2626"/>
    <w:rsid w:val="003E5906"/>
    <w:rsid w:val="003E668B"/>
    <w:rsid w:val="003E68AA"/>
    <w:rsid w:val="003E692F"/>
    <w:rsid w:val="003E6C76"/>
    <w:rsid w:val="003E6DAF"/>
    <w:rsid w:val="003E6FF1"/>
    <w:rsid w:val="003E7456"/>
    <w:rsid w:val="003E7668"/>
    <w:rsid w:val="003E76B6"/>
    <w:rsid w:val="003F03DB"/>
    <w:rsid w:val="003F0500"/>
    <w:rsid w:val="003F06B5"/>
    <w:rsid w:val="003F12F6"/>
    <w:rsid w:val="003F222B"/>
    <w:rsid w:val="003F2D35"/>
    <w:rsid w:val="003F3C89"/>
    <w:rsid w:val="003F3ED3"/>
    <w:rsid w:val="003F4529"/>
    <w:rsid w:val="003F5308"/>
    <w:rsid w:val="003F5690"/>
    <w:rsid w:val="003F79E1"/>
    <w:rsid w:val="00400995"/>
    <w:rsid w:val="00400C58"/>
    <w:rsid w:val="00401F78"/>
    <w:rsid w:val="00401FCA"/>
    <w:rsid w:val="004021EE"/>
    <w:rsid w:val="004026A8"/>
    <w:rsid w:val="00402869"/>
    <w:rsid w:val="00402980"/>
    <w:rsid w:val="00403188"/>
    <w:rsid w:val="00403575"/>
    <w:rsid w:val="0040381B"/>
    <w:rsid w:val="00403970"/>
    <w:rsid w:val="004047E3"/>
    <w:rsid w:val="004051C2"/>
    <w:rsid w:val="004062BB"/>
    <w:rsid w:val="00406905"/>
    <w:rsid w:val="004075FF"/>
    <w:rsid w:val="0041004B"/>
    <w:rsid w:val="004118D1"/>
    <w:rsid w:val="0041191D"/>
    <w:rsid w:val="00411B16"/>
    <w:rsid w:val="00411EDC"/>
    <w:rsid w:val="0041241D"/>
    <w:rsid w:val="004124FE"/>
    <w:rsid w:val="00412692"/>
    <w:rsid w:val="0041280A"/>
    <w:rsid w:val="00412EF4"/>
    <w:rsid w:val="00413974"/>
    <w:rsid w:val="00413BC4"/>
    <w:rsid w:val="00413EF0"/>
    <w:rsid w:val="004143F9"/>
    <w:rsid w:val="00414EA5"/>
    <w:rsid w:val="0041507C"/>
    <w:rsid w:val="00415ED7"/>
    <w:rsid w:val="00417396"/>
    <w:rsid w:val="00417678"/>
    <w:rsid w:val="0041790F"/>
    <w:rsid w:val="00417AD9"/>
    <w:rsid w:val="00420445"/>
    <w:rsid w:val="00421ACC"/>
    <w:rsid w:val="0042213A"/>
    <w:rsid w:val="00423517"/>
    <w:rsid w:val="004244D6"/>
    <w:rsid w:val="00424690"/>
    <w:rsid w:val="004248C3"/>
    <w:rsid w:val="00424ABE"/>
    <w:rsid w:val="00425E15"/>
    <w:rsid w:val="00425E78"/>
    <w:rsid w:val="004260E4"/>
    <w:rsid w:val="00426F39"/>
    <w:rsid w:val="00432806"/>
    <w:rsid w:val="004338AF"/>
    <w:rsid w:val="00433BB2"/>
    <w:rsid w:val="00433EFC"/>
    <w:rsid w:val="00433F23"/>
    <w:rsid w:val="00434115"/>
    <w:rsid w:val="004350D0"/>
    <w:rsid w:val="00435226"/>
    <w:rsid w:val="00435416"/>
    <w:rsid w:val="004354CC"/>
    <w:rsid w:val="00435882"/>
    <w:rsid w:val="00436797"/>
    <w:rsid w:val="00436DBE"/>
    <w:rsid w:val="00437DAE"/>
    <w:rsid w:val="00437DF9"/>
    <w:rsid w:val="00440657"/>
    <w:rsid w:val="00441911"/>
    <w:rsid w:val="00442325"/>
    <w:rsid w:val="00442933"/>
    <w:rsid w:val="004436CA"/>
    <w:rsid w:val="00443937"/>
    <w:rsid w:val="004439B3"/>
    <w:rsid w:val="00443B04"/>
    <w:rsid w:val="00444E74"/>
    <w:rsid w:val="00446DA9"/>
    <w:rsid w:val="00450210"/>
    <w:rsid w:val="004512FC"/>
    <w:rsid w:val="00451479"/>
    <w:rsid w:val="00451BC5"/>
    <w:rsid w:val="00451C05"/>
    <w:rsid w:val="004528C4"/>
    <w:rsid w:val="004528CB"/>
    <w:rsid w:val="00455CB4"/>
    <w:rsid w:val="00455D7B"/>
    <w:rsid w:val="00456D60"/>
    <w:rsid w:val="004605AD"/>
    <w:rsid w:val="0046080C"/>
    <w:rsid w:val="004609C3"/>
    <w:rsid w:val="00460A4C"/>
    <w:rsid w:val="00460C31"/>
    <w:rsid w:val="004621F5"/>
    <w:rsid w:val="00462C69"/>
    <w:rsid w:val="0046414A"/>
    <w:rsid w:val="00464451"/>
    <w:rsid w:val="004645B2"/>
    <w:rsid w:val="00466489"/>
    <w:rsid w:val="004706AA"/>
    <w:rsid w:val="00470FA1"/>
    <w:rsid w:val="004714DA"/>
    <w:rsid w:val="0047265B"/>
    <w:rsid w:val="004729BA"/>
    <w:rsid w:val="004735C6"/>
    <w:rsid w:val="00474407"/>
    <w:rsid w:val="004764D9"/>
    <w:rsid w:val="00477EED"/>
    <w:rsid w:val="00480C39"/>
    <w:rsid w:val="004814FD"/>
    <w:rsid w:val="00481697"/>
    <w:rsid w:val="00481743"/>
    <w:rsid w:val="00481783"/>
    <w:rsid w:val="00482356"/>
    <w:rsid w:val="00482515"/>
    <w:rsid w:val="004829E3"/>
    <w:rsid w:val="00482E4F"/>
    <w:rsid w:val="00483058"/>
    <w:rsid w:val="004830CA"/>
    <w:rsid w:val="0048373F"/>
    <w:rsid w:val="00483A56"/>
    <w:rsid w:val="00484316"/>
    <w:rsid w:val="0048470E"/>
    <w:rsid w:val="00484A6E"/>
    <w:rsid w:val="0048558A"/>
    <w:rsid w:val="0048585E"/>
    <w:rsid w:val="00485C27"/>
    <w:rsid w:val="004911C0"/>
    <w:rsid w:val="004914CE"/>
    <w:rsid w:val="0049151C"/>
    <w:rsid w:val="004940EC"/>
    <w:rsid w:val="00494798"/>
    <w:rsid w:val="0049766E"/>
    <w:rsid w:val="00497856"/>
    <w:rsid w:val="004A11C5"/>
    <w:rsid w:val="004A1351"/>
    <w:rsid w:val="004A1520"/>
    <w:rsid w:val="004A18A7"/>
    <w:rsid w:val="004A1ACF"/>
    <w:rsid w:val="004A24E5"/>
    <w:rsid w:val="004A260C"/>
    <w:rsid w:val="004A2775"/>
    <w:rsid w:val="004A2FA3"/>
    <w:rsid w:val="004A47B4"/>
    <w:rsid w:val="004A4C17"/>
    <w:rsid w:val="004A60B7"/>
    <w:rsid w:val="004A6923"/>
    <w:rsid w:val="004A6CA0"/>
    <w:rsid w:val="004B1F01"/>
    <w:rsid w:val="004B2C6E"/>
    <w:rsid w:val="004B2CB0"/>
    <w:rsid w:val="004B3D97"/>
    <w:rsid w:val="004B4ABC"/>
    <w:rsid w:val="004B4CE9"/>
    <w:rsid w:val="004B58EB"/>
    <w:rsid w:val="004B679B"/>
    <w:rsid w:val="004C01B4"/>
    <w:rsid w:val="004C09FE"/>
    <w:rsid w:val="004C0E44"/>
    <w:rsid w:val="004C17B4"/>
    <w:rsid w:val="004C1DBD"/>
    <w:rsid w:val="004C1FCC"/>
    <w:rsid w:val="004C2FDF"/>
    <w:rsid w:val="004C332A"/>
    <w:rsid w:val="004C493F"/>
    <w:rsid w:val="004C4C0A"/>
    <w:rsid w:val="004C5306"/>
    <w:rsid w:val="004C5414"/>
    <w:rsid w:val="004C5E51"/>
    <w:rsid w:val="004C61CC"/>
    <w:rsid w:val="004C750D"/>
    <w:rsid w:val="004C78D6"/>
    <w:rsid w:val="004D0492"/>
    <w:rsid w:val="004D139C"/>
    <w:rsid w:val="004D350F"/>
    <w:rsid w:val="004D46EB"/>
    <w:rsid w:val="004D4964"/>
    <w:rsid w:val="004D49D2"/>
    <w:rsid w:val="004D5455"/>
    <w:rsid w:val="004D5E86"/>
    <w:rsid w:val="004D620B"/>
    <w:rsid w:val="004D6D0C"/>
    <w:rsid w:val="004E0417"/>
    <w:rsid w:val="004E041B"/>
    <w:rsid w:val="004E0BF7"/>
    <w:rsid w:val="004E0F51"/>
    <w:rsid w:val="004E12F3"/>
    <w:rsid w:val="004E197B"/>
    <w:rsid w:val="004E27F8"/>
    <w:rsid w:val="004E35A8"/>
    <w:rsid w:val="004E50C9"/>
    <w:rsid w:val="004E6498"/>
    <w:rsid w:val="004E698D"/>
    <w:rsid w:val="004E7181"/>
    <w:rsid w:val="004E71C3"/>
    <w:rsid w:val="004E73A2"/>
    <w:rsid w:val="004E78DA"/>
    <w:rsid w:val="004F0089"/>
    <w:rsid w:val="004F00E1"/>
    <w:rsid w:val="004F08D5"/>
    <w:rsid w:val="004F10BA"/>
    <w:rsid w:val="004F16AA"/>
    <w:rsid w:val="004F2C04"/>
    <w:rsid w:val="004F2C5F"/>
    <w:rsid w:val="004F2E54"/>
    <w:rsid w:val="004F3964"/>
    <w:rsid w:val="004F3A27"/>
    <w:rsid w:val="004F3C53"/>
    <w:rsid w:val="004F4406"/>
    <w:rsid w:val="004F4D05"/>
    <w:rsid w:val="004F4F99"/>
    <w:rsid w:val="00500FD1"/>
    <w:rsid w:val="00502F99"/>
    <w:rsid w:val="0050408D"/>
    <w:rsid w:val="00504767"/>
    <w:rsid w:val="00505FCA"/>
    <w:rsid w:val="00507824"/>
    <w:rsid w:val="005108B6"/>
    <w:rsid w:val="00510A64"/>
    <w:rsid w:val="00511365"/>
    <w:rsid w:val="00511397"/>
    <w:rsid w:val="00511873"/>
    <w:rsid w:val="005127E0"/>
    <w:rsid w:val="00513B57"/>
    <w:rsid w:val="00513D40"/>
    <w:rsid w:val="0051441E"/>
    <w:rsid w:val="005146A2"/>
    <w:rsid w:val="00514A5E"/>
    <w:rsid w:val="005150B8"/>
    <w:rsid w:val="005164F5"/>
    <w:rsid w:val="00516A9A"/>
    <w:rsid w:val="00516B04"/>
    <w:rsid w:val="00520996"/>
    <w:rsid w:val="00520ABB"/>
    <w:rsid w:val="005219CB"/>
    <w:rsid w:val="00521BB5"/>
    <w:rsid w:val="00521D8A"/>
    <w:rsid w:val="00521DDF"/>
    <w:rsid w:val="00522FD7"/>
    <w:rsid w:val="005242B7"/>
    <w:rsid w:val="005246BC"/>
    <w:rsid w:val="00524840"/>
    <w:rsid w:val="00524B9D"/>
    <w:rsid w:val="00525444"/>
    <w:rsid w:val="00527491"/>
    <w:rsid w:val="00527F5B"/>
    <w:rsid w:val="00530E74"/>
    <w:rsid w:val="005310AA"/>
    <w:rsid w:val="005312F9"/>
    <w:rsid w:val="0053212E"/>
    <w:rsid w:val="00532FD6"/>
    <w:rsid w:val="005358C3"/>
    <w:rsid w:val="00536239"/>
    <w:rsid w:val="005379FE"/>
    <w:rsid w:val="00537E9A"/>
    <w:rsid w:val="005403BF"/>
    <w:rsid w:val="0054186C"/>
    <w:rsid w:val="00542105"/>
    <w:rsid w:val="00542541"/>
    <w:rsid w:val="00542583"/>
    <w:rsid w:val="0054263A"/>
    <w:rsid w:val="00542A08"/>
    <w:rsid w:val="005439C9"/>
    <w:rsid w:val="00544395"/>
    <w:rsid w:val="00544537"/>
    <w:rsid w:val="00544E8D"/>
    <w:rsid w:val="005452E8"/>
    <w:rsid w:val="00545B7C"/>
    <w:rsid w:val="005506D9"/>
    <w:rsid w:val="00550A39"/>
    <w:rsid w:val="00550C68"/>
    <w:rsid w:val="00550DC9"/>
    <w:rsid w:val="00550E07"/>
    <w:rsid w:val="00551336"/>
    <w:rsid w:val="005529CD"/>
    <w:rsid w:val="00553404"/>
    <w:rsid w:val="00554C4F"/>
    <w:rsid w:val="00554D67"/>
    <w:rsid w:val="0055668F"/>
    <w:rsid w:val="00556F7D"/>
    <w:rsid w:val="00557A71"/>
    <w:rsid w:val="00557CA0"/>
    <w:rsid w:val="00557E2A"/>
    <w:rsid w:val="00557F14"/>
    <w:rsid w:val="005603BC"/>
    <w:rsid w:val="005605B6"/>
    <w:rsid w:val="005609B8"/>
    <w:rsid w:val="005611BD"/>
    <w:rsid w:val="00561CA1"/>
    <w:rsid w:val="005620BF"/>
    <w:rsid w:val="005633DD"/>
    <w:rsid w:val="00563BD6"/>
    <w:rsid w:val="00564A98"/>
    <w:rsid w:val="00566630"/>
    <w:rsid w:val="00566AFF"/>
    <w:rsid w:val="00567053"/>
    <w:rsid w:val="00567189"/>
    <w:rsid w:val="005702E1"/>
    <w:rsid w:val="00570B2E"/>
    <w:rsid w:val="005710A7"/>
    <w:rsid w:val="00571304"/>
    <w:rsid w:val="00571ABE"/>
    <w:rsid w:val="005723E4"/>
    <w:rsid w:val="00573338"/>
    <w:rsid w:val="00573DB6"/>
    <w:rsid w:val="00574351"/>
    <w:rsid w:val="00574487"/>
    <w:rsid w:val="00574E70"/>
    <w:rsid w:val="00575B7E"/>
    <w:rsid w:val="0057612D"/>
    <w:rsid w:val="00576873"/>
    <w:rsid w:val="00576A71"/>
    <w:rsid w:val="0057786D"/>
    <w:rsid w:val="00580806"/>
    <w:rsid w:val="0058101A"/>
    <w:rsid w:val="00581031"/>
    <w:rsid w:val="00581398"/>
    <w:rsid w:val="00581AD6"/>
    <w:rsid w:val="00583780"/>
    <w:rsid w:val="005843D6"/>
    <w:rsid w:val="005858A3"/>
    <w:rsid w:val="005862C2"/>
    <w:rsid w:val="0058655B"/>
    <w:rsid w:val="00586AE7"/>
    <w:rsid w:val="00587BB1"/>
    <w:rsid w:val="00587F16"/>
    <w:rsid w:val="005908E3"/>
    <w:rsid w:val="00590E56"/>
    <w:rsid w:val="005918F7"/>
    <w:rsid w:val="005919BA"/>
    <w:rsid w:val="005922C2"/>
    <w:rsid w:val="0059344F"/>
    <w:rsid w:val="005940C2"/>
    <w:rsid w:val="005943CF"/>
    <w:rsid w:val="00594E1E"/>
    <w:rsid w:val="00594E98"/>
    <w:rsid w:val="00594EE7"/>
    <w:rsid w:val="00595E3B"/>
    <w:rsid w:val="005963AD"/>
    <w:rsid w:val="0059663C"/>
    <w:rsid w:val="00596A26"/>
    <w:rsid w:val="0059728A"/>
    <w:rsid w:val="005976C6"/>
    <w:rsid w:val="005A04FD"/>
    <w:rsid w:val="005A05BD"/>
    <w:rsid w:val="005A0678"/>
    <w:rsid w:val="005A0867"/>
    <w:rsid w:val="005A1000"/>
    <w:rsid w:val="005A1B20"/>
    <w:rsid w:val="005A2167"/>
    <w:rsid w:val="005A2557"/>
    <w:rsid w:val="005A360F"/>
    <w:rsid w:val="005A4BDA"/>
    <w:rsid w:val="005A5477"/>
    <w:rsid w:val="005A5AE9"/>
    <w:rsid w:val="005A5B0E"/>
    <w:rsid w:val="005A7F50"/>
    <w:rsid w:val="005B098B"/>
    <w:rsid w:val="005B11D5"/>
    <w:rsid w:val="005B180A"/>
    <w:rsid w:val="005B2B21"/>
    <w:rsid w:val="005B2F24"/>
    <w:rsid w:val="005B3097"/>
    <w:rsid w:val="005B309C"/>
    <w:rsid w:val="005B3463"/>
    <w:rsid w:val="005B3FD1"/>
    <w:rsid w:val="005B6E46"/>
    <w:rsid w:val="005B7ABC"/>
    <w:rsid w:val="005B7C1E"/>
    <w:rsid w:val="005B7C45"/>
    <w:rsid w:val="005C1362"/>
    <w:rsid w:val="005C1444"/>
    <w:rsid w:val="005C1B56"/>
    <w:rsid w:val="005C25EB"/>
    <w:rsid w:val="005C287C"/>
    <w:rsid w:val="005C2924"/>
    <w:rsid w:val="005C2AA6"/>
    <w:rsid w:val="005C3043"/>
    <w:rsid w:val="005C4337"/>
    <w:rsid w:val="005C47E1"/>
    <w:rsid w:val="005C6B21"/>
    <w:rsid w:val="005C6C8D"/>
    <w:rsid w:val="005C6FE5"/>
    <w:rsid w:val="005C73E3"/>
    <w:rsid w:val="005C7679"/>
    <w:rsid w:val="005D06FF"/>
    <w:rsid w:val="005D1A16"/>
    <w:rsid w:val="005D1BE8"/>
    <w:rsid w:val="005D2AE4"/>
    <w:rsid w:val="005D2DB9"/>
    <w:rsid w:val="005D33EF"/>
    <w:rsid w:val="005D4360"/>
    <w:rsid w:val="005D5552"/>
    <w:rsid w:val="005D5D8A"/>
    <w:rsid w:val="005D6AE0"/>
    <w:rsid w:val="005E129A"/>
    <w:rsid w:val="005E1734"/>
    <w:rsid w:val="005E19F0"/>
    <w:rsid w:val="005E2F63"/>
    <w:rsid w:val="005E4696"/>
    <w:rsid w:val="005E4E40"/>
    <w:rsid w:val="005E53FE"/>
    <w:rsid w:val="005E61D2"/>
    <w:rsid w:val="005E79AF"/>
    <w:rsid w:val="005E7C97"/>
    <w:rsid w:val="005E7D5F"/>
    <w:rsid w:val="005F04D1"/>
    <w:rsid w:val="005F09E5"/>
    <w:rsid w:val="005F0CE6"/>
    <w:rsid w:val="005F1F28"/>
    <w:rsid w:val="005F4B26"/>
    <w:rsid w:val="005F5798"/>
    <w:rsid w:val="005F58CA"/>
    <w:rsid w:val="005F5D68"/>
    <w:rsid w:val="005F5FDF"/>
    <w:rsid w:val="005F67A8"/>
    <w:rsid w:val="005F7E7A"/>
    <w:rsid w:val="006003BB"/>
    <w:rsid w:val="006010DD"/>
    <w:rsid w:val="00601145"/>
    <w:rsid w:val="00601910"/>
    <w:rsid w:val="00601917"/>
    <w:rsid w:val="00601EF8"/>
    <w:rsid w:val="00602449"/>
    <w:rsid w:val="00602E03"/>
    <w:rsid w:val="00603139"/>
    <w:rsid w:val="00603FC4"/>
    <w:rsid w:val="00604744"/>
    <w:rsid w:val="00605E13"/>
    <w:rsid w:val="00606376"/>
    <w:rsid w:val="0060637A"/>
    <w:rsid w:val="00606B0F"/>
    <w:rsid w:val="006079B9"/>
    <w:rsid w:val="0061032F"/>
    <w:rsid w:val="006103ED"/>
    <w:rsid w:val="00611089"/>
    <w:rsid w:val="00611252"/>
    <w:rsid w:val="0061170F"/>
    <w:rsid w:val="00611743"/>
    <w:rsid w:val="00612CFC"/>
    <w:rsid w:val="006135A9"/>
    <w:rsid w:val="006141A4"/>
    <w:rsid w:val="006171CA"/>
    <w:rsid w:val="00617D8E"/>
    <w:rsid w:val="00620899"/>
    <w:rsid w:val="00620B00"/>
    <w:rsid w:val="0062157B"/>
    <w:rsid w:val="00623B73"/>
    <w:rsid w:val="00623FD4"/>
    <w:rsid w:val="00624737"/>
    <w:rsid w:val="00625C1D"/>
    <w:rsid w:val="006265EE"/>
    <w:rsid w:val="00626BD9"/>
    <w:rsid w:val="006272CE"/>
    <w:rsid w:val="006272F1"/>
    <w:rsid w:val="006273FE"/>
    <w:rsid w:val="00630268"/>
    <w:rsid w:val="00630600"/>
    <w:rsid w:val="00630915"/>
    <w:rsid w:val="00630953"/>
    <w:rsid w:val="00630BD0"/>
    <w:rsid w:val="00630CC0"/>
    <w:rsid w:val="00631302"/>
    <w:rsid w:val="00631F15"/>
    <w:rsid w:val="00632416"/>
    <w:rsid w:val="006329DB"/>
    <w:rsid w:val="00633ADB"/>
    <w:rsid w:val="00633E68"/>
    <w:rsid w:val="0063479E"/>
    <w:rsid w:val="006351EA"/>
    <w:rsid w:val="00635891"/>
    <w:rsid w:val="006364F8"/>
    <w:rsid w:val="0063678C"/>
    <w:rsid w:val="0063699C"/>
    <w:rsid w:val="006401C0"/>
    <w:rsid w:val="006412AF"/>
    <w:rsid w:val="006412FC"/>
    <w:rsid w:val="00641555"/>
    <w:rsid w:val="006415D3"/>
    <w:rsid w:val="00642263"/>
    <w:rsid w:val="0064227E"/>
    <w:rsid w:val="006424BB"/>
    <w:rsid w:val="006438B6"/>
    <w:rsid w:val="006452F0"/>
    <w:rsid w:val="00647974"/>
    <w:rsid w:val="00647EB2"/>
    <w:rsid w:val="006509C0"/>
    <w:rsid w:val="00651075"/>
    <w:rsid w:val="00651092"/>
    <w:rsid w:val="006523C4"/>
    <w:rsid w:val="00652DE8"/>
    <w:rsid w:val="00654527"/>
    <w:rsid w:val="00654FC5"/>
    <w:rsid w:val="00655299"/>
    <w:rsid w:val="0065755A"/>
    <w:rsid w:val="00660008"/>
    <w:rsid w:val="006602CE"/>
    <w:rsid w:val="00661D12"/>
    <w:rsid w:val="00661F60"/>
    <w:rsid w:val="006624DD"/>
    <w:rsid w:val="006629E4"/>
    <w:rsid w:val="00663459"/>
    <w:rsid w:val="006634A5"/>
    <w:rsid w:val="00665500"/>
    <w:rsid w:val="00665A0D"/>
    <w:rsid w:val="00665F8C"/>
    <w:rsid w:val="00666355"/>
    <w:rsid w:val="00667EE6"/>
    <w:rsid w:val="00670114"/>
    <w:rsid w:val="00670713"/>
    <w:rsid w:val="006708D5"/>
    <w:rsid w:val="00671D3F"/>
    <w:rsid w:val="0067272F"/>
    <w:rsid w:val="00672C7D"/>
    <w:rsid w:val="0067423A"/>
    <w:rsid w:val="00675147"/>
    <w:rsid w:val="0067580F"/>
    <w:rsid w:val="0067643C"/>
    <w:rsid w:val="00680803"/>
    <w:rsid w:val="00680B72"/>
    <w:rsid w:val="0068245B"/>
    <w:rsid w:val="00682860"/>
    <w:rsid w:val="00682A3E"/>
    <w:rsid w:val="00682DF4"/>
    <w:rsid w:val="00683808"/>
    <w:rsid w:val="00686862"/>
    <w:rsid w:val="00686E3C"/>
    <w:rsid w:val="00690410"/>
    <w:rsid w:val="006907B7"/>
    <w:rsid w:val="00690A10"/>
    <w:rsid w:val="006911CB"/>
    <w:rsid w:val="00691E1A"/>
    <w:rsid w:val="00692495"/>
    <w:rsid w:val="006929D5"/>
    <w:rsid w:val="006934F4"/>
    <w:rsid w:val="006935A3"/>
    <w:rsid w:val="00693A08"/>
    <w:rsid w:val="00694A92"/>
    <w:rsid w:val="00696886"/>
    <w:rsid w:val="00696A63"/>
    <w:rsid w:val="00697806"/>
    <w:rsid w:val="006978D3"/>
    <w:rsid w:val="006A0EEA"/>
    <w:rsid w:val="006A2B10"/>
    <w:rsid w:val="006A2D6A"/>
    <w:rsid w:val="006A42CE"/>
    <w:rsid w:val="006A5070"/>
    <w:rsid w:val="006A5978"/>
    <w:rsid w:val="006A6A2A"/>
    <w:rsid w:val="006A6C8C"/>
    <w:rsid w:val="006A7AA1"/>
    <w:rsid w:val="006B0597"/>
    <w:rsid w:val="006B0A32"/>
    <w:rsid w:val="006B0D25"/>
    <w:rsid w:val="006B1FA5"/>
    <w:rsid w:val="006B2134"/>
    <w:rsid w:val="006B255C"/>
    <w:rsid w:val="006B2963"/>
    <w:rsid w:val="006B2E9E"/>
    <w:rsid w:val="006B4AF8"/>
    <w:rsid w:val="006B54B9"/>
    <w:rsid w:val="006B5787"/>
    <w:rsid w:val="006B62B8"/>
    <w:rsid w:val="006B62F0"/>
    <w:rsid w:val="006B7C1D"/>
    <w:rsid w:val="006B7E60"/>
    <w:rsid w:val="006C03F5"/>
    <w:rsid w:val="006C0EA9"/>
    <w:rsid w:val="006C137A"/>
    <w:rsid w:val="006C14BF"/>
    <w:rsid w:val="006C3603"/>
    <w:rsid w:val="006C3726"/>
    <w:rsid w:val="006C3D5A"/>
    <w:rsid w:val="006C438F"/>
    <w:rsid w:val="006C43AC"/>
    <w:rsid w:val="006C64D2"/>
    <w:rsid w:val="006C68C3"/>
    <w:rsid w:val="006C728B"/>
    <w:rsid w:val="006C7302"/>
    <w:rsid w:val="006C774A"/>
    <w:rsid w:val="006C7DBD"/>
    <w:rsid w:val="006D0036"/>
    <w:rsid w:val="006D29BA"/>
    <w:rsid w:val="006D58A6"/>
    <w:rsid w:val="006D59F0"/>
    <w:rsid w:val="006D684C"/>
    <w:rsid w:val="006D6B66"/>
    <w:rsid w:val="006D6EAD"/>
    <w:rsid w:val="006D7135"/>
    <w:rsid w:val="006D7547"/>
    <w:rsid w:val="006D7879"/>
    <w:rsid w:val="006E073E"/>
    <w:rsid w:val="006E0FC1"/>
    <w:rsid w:val="006E196D"/>
    <w:rsid w:val="006E2E3F"/>
    <w:rsid w:val="006E2F39"/>
    <w:rsid w:val="006E3C41"/>
    <w:rsid w:val="006E421E"/>
    <w:rsid w:val="006E6341"/>
    <w:rsid w:val="006E7F4E"/>
    <w:rsid w:val="006F0C4D"/>
    <w:rsid w:val="006F1CF4"/>
    <w:rsid w:val="006F2434"/>
    <w:rsid w:val="006F2D2C"/>
    <w:rsid w:val="006F3415"/>
    <w:rsid w:val="006F3D21"/>
    <w:rsid w:val="006F55DD"/>
    <w:rsid w:val="006F5BE0"/>
    <w:rsid w:val="006F5CAF"/>
    <w:rsid w:val="006F6679"/>
    <w:rsid w:val="006F7860"/>
    <w:rsid w:val="006F7EA6"/>
    <w:rsid w:val="00700911"/>
    <w:rsid w:val="00702873"/>
    <w:rsid w:val="00702E4C"/>
    <w:rsid w:val="00703860"/>
    <w:rsid w:val="00704050"/>
    <w:rsid w:val="0070492C"/>
    <w:rsid w:val="00705627"/>
    <w:rsid w:val="00705D39"/>
    <w:rsid w:val="00706CDD"/>
    <w:rsid w:val="0070792A"/>
    <w:rsid w:val="00710422"/>
    <w:rsid w:val="007105CD"/>
    <w:rsid w:val="00711889"/>
    <w:rsid w:val="007124D6"/>
    <w:rsid w:val="007127AA"/>
    <w:rsid w:val="00714AFB"/>
    <w:rsid w:val="0071521D"/>
    <w:rsid w:val="00715B51"/>
    <w:rsid w:val="00715F79"/>
    <w:rsid w:val="00716079"/>
    <w:rsid w:val="0071665E"/>
    <w:rsid w:val="007177AA"/>
    <w:rsid w:val="00717C87"/>
    <w:rsid w:val="00717E94"/>
    <w:rsid w:val="00721276"/>
    <w:rsid w:val="007219BD"/>
    <w:rsid w:val="00722578"/>
    <w:rsid w:val="00723301"/>
    <w:rsid w:val="007239B5"/>
    <w:rsid w:val="00723AA6"/>
    <w:rsid w:val="00723AE4"/>
    <w:rsid w:val="007241E6"/>
    <w:rsid w:val="0072452B"/>
    <w:rsid w:val="00725187"/>
    <w:rsid w:val="00725B68"/>
    <w:rsid w:val="00725BA9"/>
    <w:rsid w:val="00725C8D"/>
    <w:rsid w:val="0072624C"/>
    <w:rsid w:val="0072644A"/>
    <w:rsid w:val="00727E8C"/>
    <w:rsid w:val="00730F34"/>
    <w:rsid w:val="007313A8"/>
    <w:rsid w:val="00732156"/>
    <w:rsid w:val="0073334D"/>
    <w:rsid w:val="007341FB"/>
    <w:rsid w:val="00735246"/>
    <w:rsid w:val="00736634"/>
    <w:rsid w:val="00736857"/>
    <w:rsid w:val="00736C88"/>
    <w:rsid w:val="00737145"/>
    <w:rsid w:val="00737D53"/>
    <w:rsid w:val="00737DEE"/>
    <w:rsid w:val="007415FC"/>
    <w:rsid w:val="00741AE5"/>
    <w:rsid w:val="00741C9A"/>
    <w:rsid w:val="00742482"/>
    <w:rsid w:val="00742A7B"/>
    <w:rsid w:val="00745005"/>
    <w:rsid w:val="00745309"/>
    <w:rsid w:val="00745E04"/>
    <w:rsid w:val="00746B60"/>
    <w:rsid w:val="007474B6"/>
    <w:rsid w:val="00747FC9"/>
    <w:rsid w:val="00750309"/>
    <w:rsid w:val="00750614"/>
    <w:rsid w:val="00750883"/>
    <w:rsid w:val="0075182B"/>
    <w:rsid w:val="007518DA"/>
    <w:rsid w:val="00751C1A"/>
    <w:rsid w:val="00752173"/>
    <w:rsid w:val="0075238E"/>
    <w:rsid w:val="007525C5"/>
    <w:rsid w:val="00752F28"/>
    <w:rsid w:val="00752FEF"/>
    <w:rsid w:val="00753489"/>
    <w:rsid w:val="00753962"/>
    <w:rsid w:val="00753A3D"/>
    <w:rsid w:val="0075427E"/>
    <w:rsid w:val="007542FB"/>
    <w:rsid w:val="007564FF"/>
    <w:rsid w:val="00756BDA"/>
    <w:rsid w:val="00757025"/>
    <w:rsid w:val="007570A4"/>
    <w:rsid w:val="007578C2"/>
    <w:rsid w:val="00757E8E"/>
    <w:rsid w:val="00760A50"/>
    <w:rsid w:val="007618D8"/>
    <w:rsid w:val="007626F2"/>
    <w:rsid w:val="00762815"/>
    <w:rsid w:val="00762EE7"/>
    <w:rsid w:val="0076376E"/>
    <w:rsid w:val="00763947"/>
    <w:rsid w:val="0076549A"/>
    <w:rsid w:val="00765601"/>
    <w:rsid w:val="007665EC"/>
    <w:rsid w:val="00766982"/>
    <w:rsid w:val="00766DA5"/>
    <w:rsid w:val="007676FE"/>
    <w:rsid w:val="0076778D"/>
    <w:rsid w:val="00767AF1"/>
    <w:rsid w:val="00767DA2"/>
    <w:rsid w:val="0077009A"/>
    <w:rsid w:val="007706DB"/>
    <w:rsid w:val="00772130"/>
    <w:rsid w:val="007728CE"/>
    <w:rsid w:val="007728F5"/>
    <w:rsid w:val="00772AE2"/>
    <w:rsid w:val="00772B8A"/>
    <w:rsid w:val="00772F97"/>
    <w:rsid w:val="007731A7"/>
    <w:rsid w:val="00773404"/>
    <w:rsid w:val="00774A03"/>
    <w:rsid w:val="00775178"/>
    <w:rsid w:val="00775981"/>
    <w:rsid w:val="00777051"/>
    <w:rsid w:val="00777EFF"/>
    <w:rsid w:val="00781790"/>
    <w:rsid w:val="007828CB"/>
    <w:rsid w:val="00782AEF"/>
    <w:rsid w:val="00782C13"/>
    <w:rsid w:val="00784603"/>
    <w:rsid w:val="00784AE1"/>
    <w:rsid w:val="00784EDF"/>
    <w:rsid w:val="00785E81"/>
    <w:rsid w:val="007866E7"/>
    <w:rsid w:val="00786B8E"/>
    <w:rsid w:val="007874AF"/>
    <w:rsid w:val="0078788F"/>
    <w:rsid w:val="00787AFA"/>
    <w:rsid w:val="0079033D"/>
    <w:rsid w:val="00790419"/>
    <w:rsid w:val="007905D2"/>
    <w:rsid w:val="007922DE"/>
    <w:rsid w:val="00793614"/>
    <w:rsid w:val="00793BE3"/>
    <w:rsid w:val="00793E54"/>
    <w:rsid w:val="00793E61"/>
    <w:rsid w:val="007941FB"/>
    <w:rsid w:val="007946FE"/>
    <w:rsid w:val="0079481B"/>
    <w:rsid w:val="0079504B"/>
    <w:rsid w:val="00795CAE"/>
    <w:rsid w:val="00795D61"/>
    <w:rsid w:val="00795F51"/>
    <w:rsid w:val="0079688B"/>
    <w:rsid w:val="00797503"/>
    <w:rsid w:val="00797954"/>
    <w:rsid w:val="007A2BF8"/>
    <w:rsid w:val="007A3C7D"/>
    <w:rsid w:val="007A44AD"/>
    <w:rsid w:val="007A47B1"/>
    <w:rsid w:val="007A4817"/>
    <w:rsid w:val="007A4995"/>
    <w:rsid w:val="007A5849"/>
    <w:rsid w:val="007A609A"/>
    <w:rsid w:val="007A6750"/>
    <w:rsid w:val="007A6ACE"/>
    <w:rsid w:val="007A6D6A"/>
    <w:rsid w:val="007A6DB4"/>
    <w:rsid w:val="007A71EE"/>
    <w:rsid w:val="007A7C09"/>
    <w:rsid w:val="007B00DE"/>
    <w:rsid w:val="007B0D45"/>
    <w:rsid w:val="007B1846"/>
    <w:rsid w:val="007B18CB"/>
    <w:rsid w:val="007B1C89"/>
    <w:rsid w:val="007B2ED5"/>
    <w:rsid w:val="007B3052"/>
    <w:rsid w:val="007B45C7"/>
    <w:rsid w:val="007B5748"/>
    <w:rsid w:val="007B5981"/>
    <w:rsid w:val="007B6873"/>
    <w:rsid w:val="007B75D8"/>
    <w:rsid w:val="007C05B7"/>
    <w:rsid w:val="007C0724"/>
    <w:rsid w:val="007C266C"/>
    <w:rsid w:val="007C2B56"/>
    <w:rsid w:val="007C3C0A"/>
    <w:rsid w:val="007C3C64"/>
    <w:rsid w:val="007C51F3"/>
    <w:rsid w:val="007C698B"/>
    <w:rsid w:val="007C69BB"/>
    <w:rsid w:val="007C720A"/>
    <w:rsid w:val="007C7290"/>
    <w:rsid w:val="007C7D87"/>
    <w:rsid w:val="007D083F"/>
    <w:rsid w:val="007D0EB2"/>
    <w:rsid w:val="007D0EE5"/>
    <w:rsid w:val="007D10F8"/>
    <w:rsid w:val="007D221E"/>
    <w:rsid w:val="007D237E"/>
    <w:rsid w:val="007D2DDE"/>
    <w:rsid w:val="007D34DC"/>
    <w:rsid w:val="007D3DC9"/>
    <w:rsid w:val="007D3F7F"/>
    <w:rsid w:val="007D4181"/>
    <w:rsid w:val="007D4BE7"/>
    <w:rsid w:val="007D4CD2"/>
    <w:rsid w:val="007D507E"/>
    <w:rsid w:val="007D51AE"/>
    <w:rsid w:val="007D5E2F"/>
    <w:rsid w:val="007D6612"/>
    <w:rsid w:val="007D7BE4"/>
    <w:rsid w:val="007E0640"/>
    <w:rsid w:val="007E079A"/>
    <w:rsid w:val="007E1190"/>
    <w:rsid w:val="007E1E34"/>
    <w:rsid w:val="007E1F39"/>
    <w:rsid w:val="007E28BE"/>
    <w:rsid w:val="007E2E83"/>
    <w:rsid w:val="007E4700"/>
    <w:rsid w:val="007E4A61"/>
    <w:rsid w:val="007E4D1D"/>
    <w:rsid w:val="007E532C"/>
    <w:rsid w:val="007E631E"/>
    <w:rsid w:val="007E63D0"/>
    <w:rsid w:val="007E6558"/>
    <w:rsid w:val="007E757D"/>
    <w:rsid w:val="007E7C70"/>
    <w:rsid w:val="007F1065"/>
    <w:rsid w:val="007F1129"/>
    <w:rsid w:val="007F1C15"/>
    <w:rsid w:val="007F2530"/>
    <w:rsid w:val="007F26A9"/>
    <w:rsid w:val="007F329A"/>
    <w:rsid w:val="007F33D0"/>
    <w:rsid w:val="007F3E92"/>
    <w:rsid w:val="007F411A"/>
    <w:rsid w:val="007F4148"/>
    <w:rsid w:val="007F4B3F"/>
    <w:rsid w:val="007F4CAD"/>
    <w:rsid w:val="007F4CF4"/>
    <w:rsid w:val="007F5B63"/>
    <w:rsid w:val="007F65A1"/>
    <w:rsid w:val="007F67F5"/>
    <w:rsid w:val="007F75FF"/>
    <w:rsid w:val="007F7EFE"/>
    <w:rsid w:val="007F7F08"/>
    <w:rsid w:val="00800347"/>
    <w:rsid w:val="00800DD7"/>
    <w:rsid w:val="00801073"/>
    <w:rsid w:val="008010AF"/>
    <w:rsid w:val="0080121D"/>
    <w:rsid w:val="00801B2E"/>
    <w:rsid w:val="0080213F"/>
    <w:rsid w:val="008022DA"/>
    <w:rsid w:val="0080253C"/>
    <w:rsid w:val="00802B0F"/>
    <w:rsid w:val="008034D4"/>
    <w:rsid w:val="0080393F"/>
    <w:rsid w:val="00804165"/>
    <w:rsid w:val="00804DF8"/>
    <w:rsid w:val="00805A4D"/>
    <w:rsid w:val="00805BBF"/>
    <w:rsid w:val="00805C26"/>
    <w:rsid w:val="00806899"/>
    <w:rsid w:val="00806D0B"/>
    <w:rsid w:val="008075A9"/>
    <w:rsid w:val="00810F8D"/>
    <w:rsid w:val="00810F94"/>
    <w:rsid w:val="00811105"/>
    <w:rsid w:val="00811526"/>
    <w:rsid w:val="00812D17"/>
    <w:rsid w:val="00813DED"/>
    <w:rsid w:val="008140AD"/>
    <w:rsid w:val="00814404"/>
    <w:rsid w:val="00814AD0"/>
    <w:rsid w:val="00816237"/>
    <w:rsid w:val="00817446"/>
    <w:rsid w:val="008176DB"/>
    <w:rsid w:val="00817968"/>
    <w:rsid w:val="00817AFF"/>
    <w:rsid w:val="00817DB9"/>
    <w:rsid w:val="0082014F"/>
    <w:rsid w:val="00820FE5"/>
    <w:rsid w:val="008211E0"/>
    <w:rsid w:val="008235D8"/>
    <w:rsid w:val="00823CE7"/>
    <w:rsid w:val="00823DF5"/>
    <w:rsid w:val="008242C6"/>
    <w:rsid w:val="00824D63"/>
    <w:rsid w:val="00824DC6"/>
    <w:rsid w:val="00827466"/>
    <w:rsid w:val="00827CBB"/>
    <w:rsid w:val="00831920"/>
    <w:rsid w:val="008325F6"/>
    <w:rsid w:val="008363EA"/>
    <w:rsid w:val="0083649F"/>
    <w:rsid w:val="00836814"/>
    <w:rsid w:val="0083698A"/>
    <w:rsid w:val="00840695"/>
    <w:rsid w:val="00840B13"/>
    <w:rsid w:val="00843737"/>
    <w:rsid w:val="00843977"/>
    <w:rsid w:val="00845EC8"/>
    <w:rsid w:val="0084626E"/>
    <w:rsid w:val="00846414"/>
    <w:rsid w:val="008474B7"/>
    <w:rsid w:val="00850BE3"/>
    <w:rsid w:val="0085149B"/>
    <w:rsid w:val="00851554"/>
    <w:rsid w:val="00852C46"/>
    <w:rsid w:val="008530C7"/>
    <w:rsid w:val="00854CFD"/>
    <w:rsid w:val="0085508D"/>
    <w:rsid w:val="00855231"/>
    <w:rsid w:val="008553A4"/>
    <w:rsid w:val="00855965"/>
    <w:rsid w:val="008577E6"/>
    <w:rsid w:val="00860598"/>
    <w:rsid w:val="00860C18"/>
    <w:rsid w:val="00861631"/>
    <w:rsid w:val="00861B27"/>
    <w:rsid w:val="00861CF0"/>
    <w:rsid w:val="008635BC"/>
    <w:rsid w:val="0086404F"/>
    <w:rsid w:val="00864206"/>
    <w:rsid w:val="0086436B"/>
    <w:rsid w:val="008643DF"/>
    <w:rsid w:val="00864458"/>
    <w:rsid w:val="00865618"/>
    <w:rsid w:val="00865BB3"/>
    <w:rsid w:val="0086624C"/>
    <w:rsid w:val="00866991"/>
    <w:rsid w:val="00866FB6"/>
    <w:rsid w:val="00870E8B"/>
    <w:rsid w:val="008714E2"/>
    <w:rsid w:val="008740F4"/>
    <w:rsid w:val="00874283"/>
    <w:rsid w:val="008748D2"/>
    <w:rsid w:val="0087498E"/>
    <w:rsid w:val="00874C11"/>
    <w:rsid w:val="008759A2"/>
    <w:rsid w:val="00876745"/>
    <w:rsid w:val="00876A27"/>
    <w:rsid w:val="00877140"/>
    <w:rsid w:val="00877A07"/>
    <w:rsid w:val="008808C9"/>
    <w:rsid w:val="00882A2B"/>
    <w:rsid w:val="00883218"/>
    <w:rsid w:val="0088355A"/>
    <w:rsid w:val="008837E8"/>
    <w:rsid w:val="00883B95"/>
    <w:rsid w:val="008848AC"/>
    <w:rsid w:val="00884C71"/>
    <w:rsid w:val="00885159"/>
    <w:rsid w:val="00886744"/>
    <w:rsid w:val="00886B63"/>
    <w:rsid w:val="00890A34"/>
    <w:rsid w:val="00890BC4"/>
    <w:rsid w:val="00890E70"/>
    <w:rsid w:val="00891C81"/>
    <w:rsid w:val="008920BA"/>
    <w:rsid w:val="0089229B"/>
    <w:rsid w:val="008927D8"/>
    <w:rsid w:val="00893CEE"/>
    <w:rsid w:val="008943CC"/>
    <w:rsid w:val="00894A46"/>
    <w:rsid w:val="008974AC"/>
    <w:rsid w:val="00897C01"/>
    <w:rsid w:val="008A0E24"/>
    <w:rsid w:val="008A0F70"/>
    <w:rsid w:val="008A19E8"/>
    <w:rsid w:val="008A1B54"/>
    <w:rsid w:val="008A2F3C"/>
    <w:rsid w:val="008A3D8E"/>
    <w:rsid w:val="008A4B76"/>
    <w:rsid w:val="008A56B2"/>
    <w:rsid w:val="008A5A94"/>
    <w:rsid w:val="008A619A"/>
    <w:rsid w:val="008A6239"/>
    <w:rsid w:val="008A6B0F"/>
    <w:rsid w:val="008B0488"/>
    <w:rsid w:val="008B2C52"/>
    <w:rsid w:val="008B33C1"/>
    <w:rsid w:val="008B354B"/>
    <w:rsid w:val="008B3677"/>
    <w:rsid w:val="008B3DD4"/>
    <w:rsid w:val="008B4E81"/>
    <w:rsid w:val="008B5EC0"/>
    <w:rsid w:val="008B65F6"/>
    <w:rsid w:val="008B6B44"/>
    <w:rsid w:val="008C098F"/>
    <w:rsid w:val="008C0CA0"/>
    <w:rsid w:val="008C1A97"/>
    <w:rsid w:val="008C1C30"/>
    <w:rsid w:val="008C20BB"/>
    <w:rsid w:val="008C23EC"/>
    <w:rsid w:val="008C36B6"/>
    <w:rsid w:val="008C3932"/>
    <w:rsid w:val="008C4335"/>
    <w:rsid w:val="008C443A"/>
    <w:rsid w:val="008C6278"/>
    <w:rsid w:val="008D0CE0"/>
    <w:rsid w:val="008D176F"/>
    <w:rsid w:val="008D30C6"/>
    <w:rsid w:val="008D3B72"/>
    <w:rsid w:val="008D51E0"/>
    <w:rsid w:val="008D57EE"/>
    <w:rsid w:val="008D596B"/>
    <w:rsid w:val="008D6271"/>
    <w:rsid w:val="008D7183"/>
    <w:rsid w:val="008E023C"/>
    <w:rsid w:val="008E031C"/>
    <w:rsid w:val="008E05F8"/>
    <w:rsid w:val="008E2BDA"/>
    <w:rsid w:val="008E3314"/>
    <w:rsid w:val="008E3521"/>
    <w:rsid w:val="008E3EAE"/>
    <w:rsid w:val="008E569D"/>
    <w:rsid w:val="008E5802"/>
    <w:rsid w:val="008E6325"/>
    <w:rsid w:val="008F118B"/>
    <w:rsid w:val="008F2E68"/>
    <w:rsid w:val="008F311A"/>
    <w:rsid w:val="008F46BB"/>
    <w:rsid w:val="008F60CC"/>
    <w:rsid w:val="009007EB"/>
    <w:rsid w:val="00900C2F"/>
    <w:rsid w:val="00901104"/>
    <w:rsid w:val="00902467"/>
    <w:rsid w:val="0090283B"/>
    <w:rsid w:val="00902A7C"/>
    <w:rsid w:val="00902BBE"/>
    <w:rsid w:val="00902D16"/>
    <w:rsid w:val="009037FB"/>
    <w:rsid w:val="00903C50"/>
    <w:rsid w:val="00903F32"/>
    <w:rsid w:val="00904094"/>
    <w:rsid w:val="00904D51"/>
    <w:rsid w:val="009065A3"/>
    <w:rsid w:val="0090683B"/>
    <w:rsid w:val="00907567"/>
    <w:rsid w:val="009077EA"/>
    <w:rsid w:val="00910E55"/>
    <w:rsid w:val="00910EDA"/>
    <w:rsid w:val="0091162C"/>
    <w:rsid w:val="00911E67"/>
    <w:rsid w:val="009121AB"/>
    <w:rsid w:val="00913253"/>
    <w:rsid w:val="009134A3"/>
    <w:rsid w:val="009135F5"/>
    <w:rsid w:val="00913DE9"/>
    <w:rsid w:val="00915ACB"/>
    <w:rsid w:val="00916281"/>
    <w:rsid w:val="00916366"/>
    <w:rsid w:val="00916624"/>
    <w:rsid w:val="009170B5"/>
    <w:rsid w:val="00917420"/>
    <w:rsid w:val="00917FEF"/>
    <w:rsid w:val="009205F6"/>
    <w:rsid w:val="00921C6E"/>
    <w:rsid w:val="00922564"/>
    <w:rsid w:val="00922C65"/>
    <w:rsid w:val="00924F11"/>
    <w:rsid w:val="00925F43"/>
    <w:rsid w:val="00926480"/>
    <w:rsid w:val="009264E8"/>
    <w:rsid w:val="009270EA"/>
    <w:rsid w:val="00927371"/>
    <w:rsid w:val="009275B1"/>
    <w:rsid w:val="00930262"/>
    <w:rsid w:val="009313F9"/>
    <w:rsid w:val="00931AC2"/>
    <w:rsid w:val="00931E30"/>
    <w:rsid w:val="00935012"/>
    <w:rsid w:val="009352A9"/>
    <w:rsid w:val="009358B3"/>
    <w:rsid w:val="009361D8"/>
    <w:rsid w:val="009365B5"/>
    <w:rsid w:val="00936DB8"/>
    <w:rsid w:val="00937414"/>
    <w:rsid w:val="00937D25"/>
    <w:rsid w:val="009424AE"/>
    <w:rsid w:val="00943BCD"/>
    <w:rsid w:val="00944AC4"/>
    <w:rsid w:val="00945D83"/>
    <w:rsid w:val="00946312"/>
    <w:rsid w:val="0094657F"/>
    <w:rsid w:val="00946BC7"/>
    <w:rsid w:val="009477FB"/>
    <w:rsid w:val="0094782B"/>
    <w:rsid w:val="00947DE8"/>
    <w:rsid w:val="00947FDB"/>
    <w:rsid w:val="00950572"/>
    <w:rsid w:val="00952509"/>
    <w:rsid w:val="009526BF"/>
    <w:rsid w:val="00952CB3"/>
    <w:rsid w:val="00953BBE"/>
    <w:rsid w:val="00953C1C"/>
    <w:rsid w:val="00953E39"/>
    <w:rsid w:val="00954164"/>
    <w:rsid w:val="009552D5"/>
    <w:rsid w:val="00956152"/>
    <w:rsid w:val="009561E1"/>
    <w:rsid w:val="0095653D"/>
    <w:rsid w:val="009605B3"/>
    <w:rsid w:val="009605DA"/>
    <w:rsid w:val="00960AD3"/>
    <w:rsid w:val="00960C83"/>
    <w:rsid w:val="00961501"/>
    <w:rsid w:val="0096172A"/>
    <w:rsid w:val="009617E3"/>
    <w:rsid w:val="00962269"/>
    <w:rsid w:val="00962D72"/>
    <w:rsid w:val="0096355A"/>
    <w:rsid w:val="00963687"/>
    <w:rsid w:val="009642DC"/>
    <w:rsid w:val="0096447D"/>
    <w:rsid w:val="009649EF"/>
    <w:rsid w:val="00965C03"/>
    <w:rsid w:val="009668F1"/>
    <w:rsid w:val="00967987"/>
    <w:rsid w:val="00967EEA"/>
    <w:rsid w:val="00970072"/>
    <w:rsid w:val="00970107"/>
    <w:rsid w:val="00970566"/>
    <w:rsid w:val="00970B34"/>
    <w:rsid w:val="0097231B"/>
    <w:rsid w:val="00972F29"/>
    <w:rsid w:val="00975308"/>
    <w:rsid w:val="00976429"/>
    <w:rsid w:val="00976564"/>
    <w:rsid w:val="0097688B"/>
    <w:rsid w:val="009771A3"/>
    <w:rsid w:val="00977213"/>
    <w:rsid w:val="00977695"/>
    <w:rsid w:val="00980CBA"/>
    <w:rsid w:val="00980ED9"/>
    <w:rsid w:val="009813F5"/>
    <w:rsid w:val="009821B0"/>
    <w:rsid w:val="0098242A"/>
    <w:rsid w:val="009828DE"/>
    <w:rsid w:val="00982AB6"/>
    <w:rsid w:val="00982CF1"/>
    <w:rsid w:val="00982D26"/>
    <w:rsid w:val="00983278"/>
    <w:rsid w:val="0098353A"/>
    <w:rsid w:val="00984501"/>
    <w:rsid w:val="00985116"/>
    <w:rsid w:val="0098570E"/>
    <w:rsid w:val="00986E22"/>
    <w:rsid w:val="00987A6C"/>
    <w:rsid w:val="00987AAD"/>
    <w:rsid w:val="00987ADD"/>
    <w:rsid w:val="0099053B"/>
    <w:rsid w:val="00991D92"/>
    <w:rsid w:val="00991DDE"/>
    <w:rsid w:val="0099306B"/>
    <w:rsid w:val="009939FF"/>
    <w:rsid w:val="009954FD"/>
    <w:rsid w:val="00996E62"/>
    <w:rsid w:val="0099766A"/>
    <w:rsid w:val="009A09D9"/>
    <w:rsid w:val="009A2C5E"/>
    <w:rsid w:val="009A36B7"/>
    <w:rsid w:val="009A4B40"/>
    <w:rsid w:val="009A5083"/>
    <w:rsid w:val="009A5620"/>
    <w:rsid w:val="009A5C32"/>
    <w:rsid w:val="009A6AEA"/>
    <w:rsid w:val="009B0485"/>
    <w:rsid w:val="009B19D6"/>
    <w:rsid w:val="009B43EE"/>
    <w:rsid w:val="009B4822"/>
    <w:rsid w:val="009B50A3"/>
    <w:rsid w:val="009B581C"/>
    <w:rsid w:val="009B6E02"/>
    <w:rsid w:val="009B7D94"/>
    <w:rsid w:val="009C0B06"/>
    <w:rsid w:val="009C2E83"/>
    <w:rsid w:val="009C4126"/>
    <w:rsid w:val="009C4D36"/>
    <w:rsid w:val="009C5A66"/>
    <w:rsid w:val="009C61A9"/>
    <w:rsid w:val="009C62D6"/>
    <w:rsid w:val="009C670E"/>
    <w:rsid w:val="009C70A5"/>
    <w:rsid w:val="009C7B1C"/>
    <w:rsid w:val="009D15B7"/>
    <w:rsid w:val="009D2695"/>
    <w:rsid w:val="009D2D64"/>
    <w:rsid w:val="009D36A4"/>
    <w:rsid w:val="009D3C16"/>
    <w:rsid w:val="009D4ED8"/>
    <w:rsid w:val="009D5D40"/>
    <w:rsid w:val="009D5E52"/>
    <w:rsid w:val="009D679D"/>
    <w:rsid w:val="009D7D14"/>
    <w:rsid w:val="009E0982"/>
    <w:rsid w:val="009E1474"/>
    <w:rsid w:val="009E27DC"/>
    <w:rsid w:val="009E3086"/>
    <w:rsid w:val="009E3E73"/>
    <w:rsid w:val="009E40FE"/>
    <w:rsid w:val="009E445F"/>
    <w:rsid w:val="009E50C7"/>
    <w:rsid w:val="009E597D"/>
    <w:rsid w:val="009E5DB4"/>
    <w:rsid w:val="009E68B5"/>
    <w:rsid w:val="009E6CE0"/>
    <w:rsid w:val="009E7C85"/>
    <w:rsid w:val="009F1437"/>
    <w:rsid w:val="009F18F8"/>
    <w:rsid w:val="009F3CB2"/>
    <w:rsid w:val="009F3F9A"/>
    <w:rsid w:val="009F4045"/>
    <w:rsid w:val="009F47A8"/>
    <w:rsid w:val="009F5377"/>
    <w:rsid w:val="009F5A60"/>
    <w:rsid w:val="009F6269"/>
    <w:rsid w:val="009F74A0"/>
    <w:rsid w:val="009F75A3"/>
    <w:rsid w:val="009F7766"/>
    <w:rsid w:val="009F7E5C"/>
    <w:rsid w:val="00A00DE0"/>
    <w:rsid w:val="00A0137A"/>
    <w:rsid w:val="00A0319D"/>
    <w:rsid w:val="00A0465B"/>
    <w:rsid w:val="00A04A3F"/>
    <w:rsid w:val="00A05E50"/>
    <w:rsid w:val="00A05F22"/>
    <w:rsid w:val="00A06780"/>
    <w:rsid w:val="00A06989"/>
    <w:rsid w:val="00A06AB5"/>
    <w:rsid w:val="00A07007"/>
    <w:rsid w:val="00A108F0"/>
    <w:rsid w:val="00A11C2E"/>
    <w:rsid w:val="00A12023"/>
    <w:rsid w:val="00A1225D"/>
    <w:rsid w:val="00A12D48"/>
    <w:rsid w:val="00A13380"/>
    <w:rsid w:val="00A144A3"/>
    <w:rsid w:val="00A162A4"/>
    <w:rsid w:val="00A168ED"/>
    <w:rsid w:val="00A169C6"/>
    <w:rsid w:val="00A17072"/>
    <w:rsid w:val="00A17B57"/>
    <w:rsid w:val="00A2111A"/>
    <w:rsid w:val="00A219D7"/>
    <w:rsid w:val="00A21A71"/>
    <w:rsid w:val="00A2291A"/>
    <w:rsid w:val="00A249EF"/>
    <w:rsid w:val="00A24FCE"/>
    <w:rsid w:val="00A25E7C"/>
    <w:rsid w:val="00A265CA"/>
    <w:rsid w:val="00A27D36"/>
    <w:rsid w:val="00A30388"/>
    <w:rsid w:val="00A315B9"/>
    <w:rsid w:val="00A31841"/>
    <w:rsid w:val="00A31B68"/>
    <w:rsid w:val="00A3257A"/>
    <w:rsid w:val="00A329EE"/>
    <w:rsid w:val="00A32B29"/>
    <w:rsid w:val="00A33C7A"/>
    <w:rsid w:val="00A33E48"/>
    <w:rsid w:val="00A34AB1"/>
    <w:rsid w:val="00A3512C"/>
    <w:rsid w:val="00A35D6D"/>
    <w:rsid w:val="00A362BC"/>
    <w:rsid w:val="00A36561"/>
    <w:rsid w:val="00A367FC"/>
    <w:rsid w:val="00A36892"/>
    <w:rsid w:val="00A37F75"/>
    <w:rsid w:val="00A400EF"/>
    <w:rsid w:val="00A402E0"/>
    <w:rsid w:val="00A429C4"/>
    <w:rsid w:val="00A441CE"/>
    <w:rsid w:val="00A46504"/>
    <w:rsid w:val="00A473F9"/>
    <w:rsid w:val="00A479F4"/>
    <w:rsid w:val="00A50D3D"/>
    <w:rsid w:val="00A51969"/>
    <w:rsid w:val="00A52647"/>
    <w:rsid w:val="00A5266E"/>
    <w:rsid w:val="00A537E3"/>
    <w:rsid w:val="00A53BF2"/>
    <w:rsid w:val="00A53D3F"/>
    <w:rsid w:val="00A549D0"/>
    <w:rsid w:val="00A55912"/>
    <w:rsid w:val="00A56862"/>
    <w:rsid w:val="00A57DA5"/>
    <w:rsid w:val="00A57F87"/>
    <w:rsid w:val="00A6009E"/>
    <w:rsid w:val="00A602C3"/>
    <w:rsid w:val="00A61E4C"/>
    <w:rsid w:val="00A62033"/>
    <w:rsid w:val="00A626CF"/>
    <w:rsid w:val="00A62D5B"/>
    <w:rsid w:val="00A62E69"/>
    <w:rsid w:val="00A633E9"/>
    <w:rsid w:val="00A638DA"/>
    <w:rsid w:val="00A63CF4"/>
    <w:rsid w:val="00A64B9E"/>
    <w:rsid w:val="00A6520B"/>
    <w:rsid w:val="00A66385"/>
    <w:rsid w:val="00A663D6"/>
    <w:rsid w:val="00A66492"/>
    <w:rsid w:val="00A667DD"/>
    <w:rsid w:val="00A66CD1"/>
    <w:rsid w:val="00A66D22"/>
    <w:rsid w:val="00A67918"/>
    <w:rsid w:val="00A67B4F"/>
    <w:rsid w:val="00A67ECB"/>
    <w:rsid w:val="00A67F24"/>
    <w:rsid w:val="00A70BE2"/>
    <w:rsid w:val="00A70EA1"/>
    <w:rsid w:val="00A71507"/>
    <w:rsid w:val="00A71CCC"/>
    <w:rsid w:val="00A7250D"/>
    <w:rsid w:val="00A7253F"/>
    <w:rsid w:val="00A73290"/>
    <w:rsid w:val="00A73375"/>
    <w:rsid w:val="00A73713"/>
    <w:rsid w:val="00A744DB"/>
    <w:rsid w:val="00A7536D"/>
    <w:rsid w:val="00A75591"/>
    <w:rsid w:val="00A75A45"/>
    <w:rsid w:val="00A76512"/>
    <w:rsid w:val="00A825EF"/>
    <w:rsid w:val="00A82A4A"/>
    <w:rsid w:val="00A82C54"/>
    <w:rsid w:val="00A8567D"/>
    <w:rsid w:val="00A857B3"/>
    <w:rsid w:val="00A85B30"/>
    <w:rsid w:val="00A85EB6"/>
    <w:rsid w:val="00A86589"/>
    <w:rsid w:val="00A8753C"/>
    <w:rsid w:val="00A87577"/>
    <w:rsid w:val="00A87FA8"/>
    <w:rsid w:val="00A87FF8"/>
    <w:rsid w:val="00A917D6"/>
    <w:rsid w:val="00A9303E"/>
    <w:rsid w:val="00A93237"/>
    <w:rsid w:val="00A93FE8"/>
    <w:rsid w:val="00A941FB"/>
    <w:rsid w:val="00A94D6D"/>
    <w:rsid w:val="00A9512D"/>
    <w:rsid w:val="00A95AA2"/>
    <w:rsid w:val="00A95E35"/>
    <w:rsid w:val="00A96381"/>
    <w:rsid w:val="00A96EEC"/>
    <w:rsid w:val="00A97714"/>
    <w:rsid w:val="00AA0D7F"/>
    <w:rsid w:val="00AA0EDB"/>
    <w:rsid w:val="00AA15F8"/>
    <w:rsid w:val="00AA1ED8"/>
    <w:rsid w:val="00AA1EE6"/>
    <w:rsid w:val="00AA21A6"/>
    <w:rsid w:val="00AA230F"/>
    <w:rsid w:val="00AA286F"/>
    <w:rsid w:val="00AA53AE"/>
    <w:rsid w:val="00AA560B"/>
    <w:rsid w:val="00AA5A2B"/>
    <w:rsid w:val="00AA71C3"/>
    <w:rsid w:val="00AB04F3"/>
    <w:rsid w:val="00AB1285"/>
    <w:rsid w:val="00AB2107"/>
    <w:rsid w:val="00AB2B16"/>
    <w:rsid w:val="00AB2DA6"/>
    <w:rsid w:val="00AB3624"/>
    <w:rsid w:val="00AB36FA"/>
    <w:rsid w:val="00AB4D1C"/>
    <w:rsid w:val="00AB56F8"/>
    <w:rsid w:val="00AB5AE5"/>
    <w:rsid w:val="00AB5DE7"/>
    <w:rsid w:val="00AB64EE"/>
    <w:rsid w:val="00AB6681"/>
    <w:rsid w:val="00AB727F"/>
    <w:rsid w:val="00AB798C"/>
    <w:rsid w:val="00AC0E76"/>
    <w:rsid w:val="00AC186B"/>
    <w:rsid w:val="00AC1CF4"/>
    <w:rsid w:val="00AC314A"/>
    <w:rsid w:val="00AC31BB"/>
    <w:rsid w:val="00AC365B"/>
    <w:rsid w:val="00AC379B"/>
    <w:rsid w:val="00AC4EF4"/>
    <w:rsid w:val="00AC4FFC"/>
    <w:rsid w:val="00AC553A"/>
    <w:rsid w:val="00AC5C6E"/>
    <w:rsid w:val="00AC6607"/>
    <w:rsid w:val="00AC6B14"/>
    <w:rsid w:val="00AC7272"/>
    <w:rsid w:val="00AC7AC3"/>
    <w:rsid w:val="00AD0D57"/>
    <w:rsid w:val="00AD1823"/>
    <w:rsid w:val="00AD2631"/>
    <w:rsid w:val="00AD2B28"/>
    <w:rsid w:val="00AD2CE0"/>
    <w:rsid w:val="00AD39FA"/>
    <w:rsid w:val="00AD3A2D"/>
    <w:rsid w:val="00AD3DBC"/>
    <w:rsid w:val="00AD4B09"/>
    <w:rsid w:val="00AD4C9F"/>
    <w:rsid w:val="00AD50FD"/>
    <w:rsid w:val="00AD5226"/>
    <w:rsid w:val="00AD5367"/>
    <w:rsid w:val="00AD5386"/>
    <w:rsid w:val="00AD62A0"/>
    <w:rsid w:val="00AE0631"/>
    <w:rsid w:val="00AE1661"/>
    <w:rsid w:val="00AE18E1"/>
    <w:rsid w:val="00AE24F0"/>
    <w:rsid w:val="00AE2763"/>
    <w:rsid w:val="00AE2E28"/>
    <w:rsid w:val="00AE34F2"/>
    <w:rsid w:val="00AE3647"/>
    <w:rsid w:val="00AE37B5"/>
    <w:rsid w:val="00AE5651"/>
    <w:rsid w:val="00AE6250"/>
    <w:rsid w:val="00AE6505"/>
    <w:rsid w:val="00AE69AD"/>
    <w:rsid w:val="00AF0794"/>
    <w:rsid w:val="00AF08E9"/>
    <w:rsid w:val="00AF12CA"/>
    <w:rsid w:val="00AF130E"/>
    <w:rsid w:val="00AF1671"/>
    <w:rsid w:val="00AF2C01"/>
    <w:rsid w:val="00AF3479"/>
    <w:rsid w:val="00AF3C0B"/>
    <w:rsid w:val="00AF4099"/>
    <w:rsid w:val="00AF4FA8"/>
    <w:rsid w:val="00AF5C8B"/>
    <w:rsid w:val="00AF6EEE"/>
    <w:rsid w:val="00AF7A59"/>
    <w:rsid w:val="00B00922"/>
    <w:rsid w:val="00B02310"/>
    <w:rsid w:val="00B02EFC"/>
    <w:rsid w:val="00B02F96"/>
    <w:rsid w:val="00B05F86"/>
    <w:rsid w:val="00B063D8"/>
    <w:rsid w:val="00B1020D"/>
    <w:rsid w:val="00B102A0"/>
    <w:rsid w:val="00B10E99"/>
    <w:rsid w:val="00B10F2F"/>
    <w:rsid w:val="00B1172E"/>
    <w:rsid w:val="00B11AD3"/>
    <w:rsid w:val="00B12783"/>
    <w:rsid w:val="00B12943"/>
    <w:rsid w:val="00B12F1A"/>
    <w:rsid w:val="00B14CE2"/>
    <w:rsid w:val="00B14D22"/>
    <w:rsid w:val="00B14E5B"/>
    <w:rsid w:val="00B14FB2"/>
    <w:rsid w:val="00B15368"/>
    <w:rsid w:val="00B15E43"/>
    <w:rsid w:val="00B16648"/>
    <w:rsid w:val="00B16872"/>
    <w:rsid w:val="00B16E37"/>
    <w:rsid w:val="00B174A9"/>
    <w:rsid w:val="00B17863"/>
    <w:rsid w:val="00B201C2"/>
    <w:rsid w:val="00B217C2"/>
    <w:rsid w:val="00B22788"/>
    <w:rsid w:val="00B227EF"/>
    <w:rsid w:val="00B235D5"/>
    <w:rsid w:val="00B23BC6"/>
    <w:rsid w:val="00B2433B"/>
    <w:rsid w:val="00B2551D"/>
    <w:rsid w:val="00B25659"/>
    <w:rsid w:val="00B25ECB"/>
    <w:rsid w:val="00B27583"/>
    <w:rsid w:val="00B305D6"/>
    <w:rsid w:val="00B30BDB"/>
    <w:rsid w:val="00B3135E"/>
    <w:rsid w:val="00B318DC"/>
    <w:rsid w:val="00B31C93"/>
    <w:rsid w:val="00B342EC"/>
    <w:rsid w:val="00B34611"/>
    <w:rsid w:val="00B34889"/>
    <w:rsid w:val="00B352DB"/>
    <w:rsid w:val="00B35DFD"/>
    <w:rsid w:val="00B36116"/>
    <w:rsid w:val="00B363A0"/>
    <w:rsid w:val="00B373DF"/>
    <w:rsid w:val="00B40CB1"/>
    <w:rsid w:val="00B41FA9"/>
    <w:rsid w:val="00B429AF"/>
    <w:rsid w:val="00B42A79"/>
    <w:rsid w:val="00B42EEE"/>
    <w:rsid w:val="00B4301E"/>
    <w:rsid w:val="00B436E5"/>
    <w:rsid w:val="00B44236"/>
    <w:rsid w:val="00B45D0B"/>
    <w:rsid w:val="00B46CFF"/>
    <w:rsid w:val="00B46D31"/>
    <w:rsid w:val="00B47084"/>
    <w:rsid w:val="00B50CFD"/>
    <w:rsid w:val="00B534DC"/>
    <w:rsid w:val="00B53A41"/>
    <w:rsid w:val="00B54B48"/>
    <w:rsid w:val="00B557FD"/>
    <w:rsid w:val="00B55C58"/>
    <w:rsid w:val="00B56CD8"/>
    <w:rsid w:val="00B574C2"/>
    <w:rsid w:val="00B61D55"/>
    <w:rsid w:val="00B621CA"/>
    <w:rsid w:val="00B62AE4"/>
    <w:rsid w:val="00B63A4C"/>
    <w:rsid w:val="00B64F4E"/>
    <w:rsid w:val="00B65041"/>
    <w:rsid w:val="00B660B2"/>
    <w:rsid w:val="00B66601"/>
    <w:rsid w:val="00B6723C"/>
    <w:rsid w:val="00B67722"/>
    <w:rsid w:val="00B67A22"/>
    <w:rsid w:val="00B700A1"/>
    <w:rsid w:val="00B70248"/>
    <w:rsid w:val="00B7101A"/>
    <w:rsid w:val="00B715A2"/>
    <w:rsid w:val="00B719A0"/>
    <w:rsid w:val="00B7211A"/>
    <w:rsid w:val="00B7360B"/>
    <w:rsid w:val="00B73C7A"/>
    <w:rsid w:val="00B74239"/>
    <w:rsid w:val="00B751CA"/>
    <w:rsid w:val="00B7542A"/>
    <w:rsid w:val="00B754C7"/>
    <w:rsid w:val="00B75F5A"/>
    <w:rsid w:val="00B76383"/>
    <w:rsid w:val="00B7729E"/>
    <w:rsid w:val="00B774FF"/>
    <w:rsid w:val="00B806CD"/>
    <w:rsid w:val="00B83142"/>
    <w:rsid w:val="00B83442"/>
    <w:rsid w:val="00B84AF1"/>
    <w:rsid w:val="00B84B9F"/>
    <w:rsid w:val="00B85001"/>
    <w:rsid w:val="00B860A0"/>
    <w:rsid w:val="00B862FF"/>
    <w:rsid w:val="00B8642F"/>
    <w:rsid w:val="00B86636"/>
    <w:rsid w:val="00B86FA7"/>
    <w:rsid w:val="00B87C29"/>
    <w:rsid w:val="00B92034"/>
    <w:rsid w:val="00B935E7"/>
    <w:rsid w:val="00B93930"/>
    <w:rsid w:val="00B93B2C"/>
    <w:rsid w:val="00B93C32"/>
    <w:rsid w:val="00B942C2"/>
    <w:rsid w:val="00B965DC"/>
    <w:rsid w:val="00B969E3"/>
    <w:rsid w:val="00B97143"/>
    <w:rsid w:val="00B9736D"/>
    <w:rsid w:val="00BA0869"/>
    <w:rsid w:val="00BA0AEA"/>
    <w:rsid w:val="00BA154D"/>
    <w:rsid w:val="00BA2887"/>
    <w:rsid w:val="00BA2CAF"/>
    <w:rsid w:val="00BA3D96"/>
    <w:rsid w:val="00BA3ECC"/>
    <w:rsid w:val="00BA3F0D"/>
    <w:rsid w:val="00BA463E"/>
    <w:rsid w:val="00BA4E49"/>
    <w:rsid w:val="00BA57D1"/>
    <w:rsid w:val="00BA5968"/>
    <w:rsid w:val="00BA6625"/>
    <w:rsid w:val="00BA6887"/>
    <w:rsid w:val="00BA69E4"/>
    <w:rsid w:val="00BB0A97"/>
    <w:rsid w:val="00BB1162"/>
    <w:rsid w:val="00BB14C3"/>
    <w:rsid w:val="00BB17C3"/>
    <w:rsid w:val="00BB1A46"/>
    <w:rsid w:val="00BB1D26"/>
    <w:rsid w:val="00BB30C9"/>
    <w:rsid w:val="00BB3B27"/>
    <w:rsid w:val="00BB3BD2"/>
    <w:rsid w:val="00BB445F"/>
    <w:rsid w:val="00BB4FBF"/>
    <w:rsid w:val="00BB6DFF"/>
    <w:rsid w:val="00BB7E60"/>
    <w:rsid w:val="00BC10E9"/>
    <w:rsid w:val="00BC1366"/>
    <w:rsid w:val="00BC24B7"/>
    <w:rsid w:val="00BC3FEE"/>
    <w:rsid w:val="00BC50C0"/>
    <w:rsid w:val="00BC5B62"/>
    <w:rsid w:val="00BC6C0F"/>
    <w:rsid w:val="00BD014F"/>
    <w:rsid w:val="00BD0158"/>
    <w:rsid w:val="00BD0B38"/>
    <w:rsid w:val="00BD0FA7"/>
    <w:rsid w:val="00BD21F2"/>
    <w:rsid w:val="00BD23A4"/>
    <w:rsid w:val="00BD2495"/>
    <w:rsid w:val="00BD26E3"/>
    <w:rsid w:val="00BD378C"/>
    <w:rsid w:val="00BD4921"/>
    <w:rsid w:val="00BD50D3"/>
    <w:rsid w:val="00BD5561"/>
    <w:rsid w:val="00BD7418"/>
    <w:rsid w:val="00BD7AAC"/>
    <w:rsid w:val="00BD7D4F"/>
    <w:rsid w:val="00BE122C"/>
    <w:rsid w:val="00BE1845"/>
    <w:rsid w:val="00BE1F83"/>
    <w:rsid w:val="00BE2BF4"/>
    <w:rsid w:val="00BE2D00"/>
    <w:rsid w:val="00BE2EB2"/>
    <w:rsid w:val="00BE347B"/>
    <w:rsid w:val="00BE5181"/>
    <w:rsid w:val="00BE54B8"/>
    <w:rsid w:val="00BE5EFE"/>
    <w:rsid w:val="00BE7899"/>
    <w:rsid w:val="00BF043E"/>
    <w:rsid w:val="00BF0D92"/>
    <w:rsid w:val="00BF1156"/>
    <w:rsid w:val="00BF13AA"/>
    <w:rsid w:val="00BF1684"/>
    <w:rsid w:val="00BF2356"/>
    <w:rsid w:val="00BF33BD"/>
    <w:rsid w:val="00BF3C20"/>
    <w:rsid w:val="00BF3DD6"/>
    <w:rsid w:val="00BF467C"/>
    <w:rsid w:val="00BF4739"/>
    <w:rsid w:val="00BF4810"/>
    <w:rsid w:val="00BF4826"/>
    <w:rsid w:val="00BF54E4"/>
    <w:rsid w:val="00BF5C18"/>
    <w:rsid w:val="00BF5C43"/>
    <w:rsid w:val="00BF67F5"/>
    <w:rsid w:val="00BF7713"/>
    <w:rsid w:val="00C00721"/>
    <w:rsid w:val="00C00802"/>
    <w:rsid w:val="00C00A00"/>
    <w:rsid w:val="00C00F7D"/>
    <w:rsid w:val="00C012D0"/>
    <w:rsid w:val="00C015DE"/>
    <w:rsid w:val="00C01FAE"/>
    <w:rsid w:val="00C025ED"/>
    <w:rsid w:val="00C02D30"/>
    <w:rsid w:val="00C038A7"/>
    <w:rsid w:val="00C03C07"/>
    <w:rsid w:val="00C04731"/>
    <w:rsid w:val="00C04F21"/>
    <w:rsid w:val="00C05251"/>
    <w:rsid w:val="00C0594F"/>
    <w:rsid w:val="00C062E5"/>
    <w:rsid w:val="00C06DC5"/>
    <w:rsid w:val="00C070D2"/>
    <w:rsid w:val="00C10021"/>
    <w:rsid w:val="00C103D5"/>
    <w:rsid w:val="00C11EC7"/>
    <w:rsid w:val="00C12917"/>
    <w:rsid w:val="00C14217"/>
    <w:rsid w:val="00C1475D"/>
    <w:rsid w:val="00C147AC"/>
    <w:rsid w:val="00C15192"/>
    <w:rsid w:val="00C153FD"/>
    <w:rsid w:val="00C15A77"/>
    <w:rsid w:val="00C15FDB"/>
    <w:rsid w:val="00C1693D"/>
    <w:rsid w:val="00C16FBB"/>
    <w:rsid w:val="00C207FE"/>
    <w:rsid w:val="00C21CDA"/>
    <w:rsid w:val="00C22482"/>
    <w:rsid w:val="00C2259F"/>
    <w:rsid w:val="00C23377"/>
    <w:rsid w:val="00C243AB"/>
    <w:rsid w:val="00C25521"/>
    <w:rsid w:val="00C262FC"/>
    <w:rsid w:val="00C2665F"/>
    <w:rsid w:val="00C268C6"/>
    <w:rsid w:val="00C273B3"/>
    <w:rsid w:val="00C2773E"/>
    <w:rsid w:val="00C314D1"/>
    <w:rsid w:val="00C32029"/>
    <w:rsid w:val="00C3251C"/>
    <w:rsid w:val="00C33400"/>
    <w:rsid w:val="00C34067"/>
    <w:rsid w:val="00C345A3"/>
    <w:rsid w:val="00C34A08"/>
    <w:rsid w:val="00C34DF3"/>
    <w:rsid w:val="00C34DFF"/>
    <w:rsid w:val="00C355C0"/>
    <w:rsid w:val="00C3598C"/>
    <w:rsid w:val="00C35EA9"/>
    <w:rsid w:val="00C36085"/>
    <w:rsid w:val="00C362D4"/>
    <w:rsid w:val="00C36660"/>
    <w:rsid w:val="00C36AF5"/>
    <w:rsid w:val="00C36EC5"/>
    <w:rsid w:val="00C40843"/>
    <w:rsid w:val="00C40C4B"/>
    <w:rsid w:val="00C42D66"/>
    <w:rsid w:val="00C44633"/>
    <w:rsid w:val="00C453D9"/>
    <w:rsid w:val="00C457B2"/>
    <w:rsid w:val="00C45EE6"/>
    <w:rsid w:val="00C46373"/>
    <w:rsid w:val="00C4688A"/>
    <w:rsid w:val="00C46912"/>
    <w:rsid w:val="00C46D9B"/>
    <w:rsid w:val="00C46F44"/>
    <w:rsid w:val="00C47F91"/>
    <w:rsid w:val="00C5162B"/>
    <w:rsid w:val="00C568A3"/>
    <w:rsid w:val="00C57539"/>
    <w:rsid w:val="00C5759C"/>
    <w:rsid w:val="00C5770B"/>
    <w:rsid w:val="00C600F1"/>
    <w:rsid w:val="00C60C12"/>
    <w:rsid w:val="00C61915"/>
    <w:rsid w:val="00C634FC"/>
    <w:rsid w:val="00C64536"/>
    <w:rsid w:val="00C65961"/>
    <w:rsid w:val="00C65F2C"/>
    <w:rsid w:val="00C668EB"/>
    <w:rsid w:val="00C70007"/>
    <w:rsid w:val="00C702A9"/>
    <w:rsid w:val="00C707D8"/>
    <w:rsid w:val="00C70F37"/>
    <w:rsid w:val="00C726D8"/>
    <w:rsid w:val="00C72E08"/>
    <w:rsid w:val="00C72F44"/>
    <w:rsid w:val="00C72FF1"/>
    <w:rsid w:val="00C740F5"/>
    <w:rsid w:val="00C74C25"/>
    <w:rsid w:val="00C75638"/>
    <w:rsid w:val="00C761A3"/>
    <w:rsid w:val="00C76E5A"/>
    <w:rsid w:val="00C773F3"/>
    <w:rsid w:val="00C77596"/>
    <w:rsid w:val="00C77D17"/>
    <w:rsid w:val="00C81181"/>
    <w:rsid w:val="00C81198"/>
    <w:rsid w:val="00C820FC"/>
    <w:rsid w:val="00C82508"/>
    <w:rsid w:val="00C83319"/>
    <w:rsid w:val="00C839D1"/>
    <w:rsid w:val="00C8457E"/>
    <w:rsid w:val="00C845EA"/>
    <w:rsid w:val="00C86D4C"/>
    <w:rsid w:val="00C870FB"/>
    <w:rsid w:val="00C87E2A"/>
    <w:rsid w:val="00C90BC8"/>
    <w:rsid w:val="00C92573"/>
    <w:rsid w:val="00C9300C"/>
    <w:rsid w:val="00C937D6"/>
    <w:rsid w:val="00C9433F"/>
    <w:rsid w:val="00C963F1"/>
    <w:rsid w:val="00C9673E"/>
    <w:rsid w:val="00C971CF"/>
    <w:rsid w:val="00C97404"/>
    <w:rsid w:val="00C975F8"/>
    <w:rsid w:val="00C97981"/>
    <w:rsid w:val="00C97B35"/>
    <w:rsid w:val="00C97B82"/>
    <w:rsid w:val="00CA01F4"/>
    <w:rsid w:val="00CA10DF"/>
    <w:rsid w:val="00CA1726"/>
    <w:rsid w:val="00CA39CB"/>
    <w:rsid w:val="00CA3A03"/>
    <w:rsid w:val="00CA4543"/>
    <w:rsid w:val="00CA5556"/>
    <w:rsid w:val="00CA5F45"/>
    <w:rsid w:val="00CA62D3"/>
    <w:rsid w:val="00CA6374"/>
    <w:rsid w:val="00CA64E8"/>
    <w:rsid w:val="00CA6624"/>
    <w:rsid w:val="00CA7C8B"/>
    <w:rsid w:val="00CA7F8F"/>
    <w:rsid w:val="00CB0009"/>
    <w:rsid w:val="00CB04AF"/>
    <w:rsid w:val="00CB0627"/>
    <w:rsid w:val="00CB0D4C"/>
    <w:rsid w:val="00CB3AD6"/>
    <w:rsid w:val="00CB41B5"/>
    <w:rsid w:val="00CB68E9"/>
    <w:rsid w:val="00CB70FF"/>
    <w:rsid w:val="00CB7F80"/>
    <w:rsid w:val="00CC13E9"/>
    <w:rsid w:val="00CC2A02"/>
    <w:rsid w:val="00CC3962"/>
    <w:rsid w:val="00CC41D9"/>
    <w:rsid w:val="00CC4A1E"/>
    <w:rsid w:val="00CC6AB4"/>
    <w:rsid w:val="00CD04A5"/>
    <w:rsid w:val="00CD07C8"/>
    <w:rsid w:val="00CD0E3D"/>
    <w:rsid w:val="00CD0EA9"/>
    <w:rsid w:val="00CD137A"/>
    <w:rsid w:val="00CD1D41"/>
    <w:rsid w:val="00CD2867"/>
    <w:rsid w:val="00CD30DF"/>
    <w:rsid w:val="00CD3398"/>
    <w:rsid w:val="00CD37A7"/>
    <w:rsid w:val="00CD41B8"/>
    <w:rsid w:val="00CD4604"/>
    <w:rsid w:val="00CD4E02"/>
    <w:rsid w:val="00CD5673"/>
    <w:rsid w:val="00CD5B68"/>
    <w:rsid w:val="00CD70AA"/>
    <w:rsid w:val="00CD70B5"/>
    <w:rsid w:val="00CD7304"/>
    <w:rsid w:val="00CD7E73"/>
    <w:rsid w:val="00CE019D"/>
    <w:rsid w:val="00CE0F4B"/>
    <w:rsid w:val="00CE1743"/>
    <w:rsid w:val="00CE1786"/>
    <w:rsid w:val="00CE199A"/>
    <w:rsid w:val="00CE2667"/>
    <w:rsid w:val="00CE283B"/>
    <w:rsid w:val="00CE2971"/>
    <w:rsid w:val="00CE2BB8"/>
    <w:rsid w:val="00CE46DC"/>
    <w:rsid w:val="00CE4AA8"/>
    <w:rsid w:val="00CE5200"/>
    <w:rsid w:val="00CE5464"/>
    <w:rsid w:val="00CE55F3"/>
    <w:rsid w:val="00CE574E"/>
    <w:rsid w:val="00CE5B80"/>
    <w:rsid w:val="00CE6997"/>
    <w:rsid w:val="00CE6B3A"/>
    <w:rsid w:val="00CE70C4"/>
    <w:rsid w:val="00CE7E69"/>
    <w:rsid w:val="00CF141D"/>
    <w:rsid w:val="00CF162D"/>
    <w:rsid w:val="00CF1CA9"/>
    <w:rsid w:val="00CF2E02"/>
    <w:rsid w:val="00CF3BF5"/>
    <w:rsid w:val="00CF4CC2"/>
    <w:rsid w:val="00CF5198"/>
    <w:rsid w:val="00CF6510"/>
    <w:rsid w:val="00CF65B9"/>
    <w:rsid w:val="00D008F4"/>
    <w:rsid w:val="00D00EC7"/>
    <w:rsid w:val="00D032A0"/>
    <w:rsid w:val="00D035E5"/>
    <w:rsid w:val="00D04873"/>
    <w:rsid w:val="00D04CBB"/>
    <w:rsid w:val="00D058F7"/>
    <w:rsid w:val="00D05BA9"/>
    <w:rsid w:val="00D0650D"/>
    <w:rsid w:val="00D0700C"/>
    <w:rsid w:val="00D07047"/>
    <w:rsid w:val="00D07317"/>
    <w:rsid w:val="00D07C79"/>
    <w:rsid w:val="00D10D8A"/>
    <w:rsid w:val="00D10DBB"/>
    <w:rsid w:val="00D10ED7"/>
    <w:rsid w:val="00D11D5F"/>
    <w:rsid w:val="00D132AF"/>
    <w:rsid w:val="00D13931"/>
    <w:rsid w:val="00D14BE1"/>
    <w:rsid w:val="00D15EFF"/>
    <w:rsid w:val="00D16A61"/>
    <w:rsid w:val="00D17B8E"/>
    <w:rsid w:val="00D20BAE"/>
    <w:rsid w:val="00D20CCA"/>
    <w:rsid w:val="00D21364"/>
    <w:rsid w:val="00D21A5E"/>
    <w:rsid w:val="00D22B9D"/>
    <w:rsid w:val="00D24F34"/>
    <w:rsid w:val="00D25661"/>
    <w:rsid w:val="00D25B8F"/>
    <w:rsid w:val="00D2635C"/>
    <w:rsid w:val="00D2682A"/>
    <w:rsid w:val="00D30BC4"/>
    <w:rsid w:val="00D31117"/>
    <w:rsid w:val="00D32828"/>
    <w:rsid w:val="00D32B90"/>
    <w:rsid w:val="00D339D2"/>
    <w:rsid w:val="00D34ABE"/>
    <w:rsid w:val="00D35ABE"/>
    <w:rsid w:val="00D36579"/>
    <w:rsid w:val="00D371EE"/>
    <w:rsid w:val="00D37588"/>
    <w:rsid w:val="00D40AF3"/>
    <w:rsid w:val="00D4100E"/>
    <w:rsid w:val="00D415F4"/>
    <w:rsid w:val="00D41E07"/>
    <w:rsid w:val="00D41F2A"/>
    <w:rsid w:val="00D41FC7"/>
    <w:rsid w:val="00D4284F"/>
    <w:rsid w:val="00D42E24"/>
    <w:rsid w:val="00D43B97"/>
    <w:rsid w:val="00D44641"/>
    <w:rsid w:val="00D44B3D"/>
    <w:rsid w:val="00D45BE5"/>
    <w:rsid w:val="00D45C40"/>
    <w:rsid w:val="00D460E3"/>
    <w:rsid w:val="00D47011"/>
    <w:rsid w:val="00D47916"/>
    <w:rsid w:val="00D47B5F"/>
    <w:rsid w:val="00D47E81"/>
    <w:rsid w:val="00D5001B"/>
    <w:rsid w:val="00D50551"/>
    <w:rsid w:val="00D50D0A"/>
    <w:rsid w:val="00D50F21"/>
    <w:rsid w:val="00D510DF"/>
    <w:rsid w:val="00D5148B"/>
    <w:rsid w:val="00D51982"/>
    <w:rsid w:val="00D51BDB"/>
    <w:rsid w:val="00D51D0C"/>
    <w:rsid w:val="00D533D5"/>
    <w:rsid w:val="00D53D88"/>
    <w:rsid w:val="00D549B2"/>
    <w:rsid w:val="00D54D06"/>
    <w:rsid w:val="00D54D6B"/>
    <w:rsid w:val="00D557DC"/>
    <w:rsid w:val="00D57098"/>
    <w:rsid w:val="00D57134"/>
    <w:rsid w:val="00D602E0"/>
    <w:rsid w:val="00D605E0"/>
    <w:rsid w:val="00D609F5"/>
    <w:rsid w:val="00D62A19"/>
    <w:rsid w:val="00D6371C"/>
    <w:rsid w:val="00D64235"/>
    <w:rsid w:val="00D650BB"/>
    <w:rsid w:val="00D6551E"/>
    <w:rsid w:val="00D657CB"/>
    <w:rsid w:val="00D66724"/>
    <w:rsid w:val="00D66A92"/>
    <w:rsid w:val="00D67856"/>
    <w:rsid w:val="00D704E2"/>
    <w:rsid w:val="00D71910"/>
    <w:rsid w:val="00D73525"/>
    <w:rsid w:val="00D757EE"/>
    <w:rsid w:val="00D767CC"/>
    <w:rsid w:val="00D769D5"/>
    <w:rsid w:val="00D804AF"/>
    <w:rsid w:val="00D80970"/>
    <w:rsid w:val="00D82005"/>
    <w:rsid w:val="00D82249"/>
    <w:rsid w:val="00D83923"/>
    <w:rsid w:val="00D85C23"/>
    <w:rsid w:val="00D86845"/>
    <w:rsid w:val="00D86E20"/>
    <w:rsid w:val="00D872CB"/>
    <w:rsid w:val="00D875DA"/>
    <w:rsid w:val="00D87CD9"/>
    <w:rsid w:val="00D87E8C"/>
    <w:rsid w:val="00D90E10"/>
    <w:rsid w:val="00D9339E"/>
    <w:rsid w:val="00D93B4E"/>
    <w:rsid w:val="00D94751"/>
    <w:rsid w:val="00D951C0"/>
    <w:rsid w:val="00D956B5"/>
    <w:rsid w:val="00D968E4"/>
    <w:rsid w:val="00D96970"/>
    <w:rsid w:val="00D96C55"/>
    <w:rsid w:val="00D96DD9"/>
    <w:rsid w:val="00D97494"/>
    <w:rsid w:val="00DA096A"/>
    <w:rsid w:val="00DA0BBC"/>
    <w:rsid w:val="00DA0E41"/>
    <w:rsid w:val="00DA0F17"/>
    <w:rsid w:val="00DA19BE"/>
    <w:rsid w:val="00DA40C1"/>
    <w:rsid w:val="00DA4DF6"/>
    <w:rsid w:val="00DA4FA3"/>
    <w:rsid w:val="00DA513C"/>
    <w:rsid w:val="00DA5541"/>
    <w:rsid w:val="00DA5D57"/>
    <w:rsid w:val="00DA60A6"/>
    <w:rsid w:val="00DA735E"/>
    <w:rsid w:val="00DA7612"/>
    <w:rsid w:val="00DA7FE0"/>
    <w:rsid w:val="00DB1AA7"/>
    <w:rsid w:val="00DB1E91"/>
    <w:rsid w:val="00DB42CD"/>
    <w:rsid w:val="00DB4A94"/>
    <w:rsid w:val="00DB552D"/>
    <w:rsid w:val="00DB5920"/>
    <w:rsid w:val="00DB5A5F"/>
    <w:rsid w:val="00DB6963"/>
    <w:rsid w:val="00DB7314"/>
    <w:rsid w:val="00DC0385"/>
    <w:rsid w:val="00DC0E97"/>
    <w:rsid w:val="00DC1878"/>
    <w:rsid w:val="00DC203D"/>
    <w:rsid w:val="00DC2601"/>
    <w:rsid w:val="00DC61E3"/>
    <w:rsid w:val="00DC6710"/>
    <w:rsid w:val="00DC73F7"/>
    <w:rsid w:val="00DC75CB"/>
    <w:rsid w:val="00DC7FCC"/>
    <w:rsid w:val="00DD04D8"/>
    <w:rsid w:val="00DD0C45"/>
    <w:rsid w:val="00DD2D4C"/>
    <w:rsid w:val="00DD35FE"/>
    <w:rsid w:val="00DD52EE"/>
    <w:rsid w:val="00DD59D1"/>
    <w:rsid w:val="00DD5CEF"/>
    <w:rsid w:val="00DD706D"/>
    <w:rsid w:val="00DD72A3"/>
    <w:rsid w:val="00DD7849"/>
    <w:rsid w:val="00DD7BA9"/>
    <w:rsid w:val="00DD7E2D"/>
    <w:rsid w:val="00DE0303"/>
    <w:rsid w:val="00DE124A"/>
    <w:rsid w:val="00DE1303"/>
    <w:rsid w:val="00DE2EA9"/>
    <w:rsid w:val="00DE3742"/>
    <w:rsid w:val="00DE3E65"/>
    <w:rsid w:val="00DE536A"/>
    <w:rsid w:val="00DE54AB"/>
    <w:rsid w:val="00DE5CA1"/>
    <w:rsid w:val="00DE5DD2"/>
    <w:rsid w:val="00DE6A8A"/>
    <w:rsid w:val="00DE6E5C"/>
    <w:rsid w:val="00DE7823"/>
    <w:rsid w:val="00DE7ED5"/>
    <w:rsid w:val="00DF0405"/>
    <w:rsid w:val="00DF057E"/>
    <w:rsid w:val="00DF059B"/>
    <w:rsid w:val="00DF0D51"/>
    <w:rsid w:val="00DF11A4"/>
    <w:rsid w:val="00DF1224"/>
    <w:rsid w:val="00DF1459"/>
    <w:rsid w:val="00DF198B"/>
    <w:rsid w:val="00DF27D9"/>
    <w:rsid w:val="00DF2ED4"/>
    <w:rsid w:val="00DF2FE1"/>
    <w:rsid w:val="00DF374F"/>
    <w:rsid w:val="00DF451D"/>
    <w:rsid w:val="00DF4E8A"/>
    <w:rsid w:val="00DF6087"/>
    <w:rsid w:val="00DF6315"/>
    <w:rsid w:val="00DF6A9A"/>
    <w:rsid w:val="00DF7362"/>
    <w:rsid w:val="00DF7760"/>
    <w:rsid w:val="00DF7BBD"/>
    <w:rsid w:val="00DF7C68"/>
    <w:rsid w:val="00E01C94"/>
    <w:rsid w:val="00E02577"/>
    <w:rsid w:val="00E02D56"/>
    <w:rsid w:val="00E03E4A"/>
    <w:rsid w:val="00E04D9A"/>
    <w:rsid w:val="00E053B3"/>
    <w:rsid w:val="00E063E1"/>
    <w:rsid w:val="00E07CD8"/>
    <w:rsid w:val="00E104FE"/>
    <w:rsid w:val="00E10E03"/>
    <w:rsid w:val="00E10FEF"/>
    <w:rsid w:val="00E1262F"/>
    <w:rsid w:val="00E12E9A"/>
    <w:rsid w:val="00E13063"/>
    <w:rsid w:val="00E13E11"/>
    <w:rsid w:val="00E13E49"/>
    <w:rsid w:val="00E14B23"/>
    <w:rsid w:val="00E153F1"/>
    <w:rsid w:val="00E17080"/>
    <w:rsid w:val="00E17829"/>
    <w:rsid w:val="00E17F27"/>
    <w:rsid w:val="00E2005C"/>
    <w:rsid w:val="00E203A7"/>
    <w:rsid w:val="00E20512"/>
    <w:rsid w:val="00E20F37"/>
    <w:rsid w:val="00E21F2B"/>
    <w:rsid w:val="00E22BC2"/>
    <w:rsid w:val="00E23095"/>
    <w:rsid w:val="00E23459"/>
    <w:rsid w:val="00E23962"/>
    <w:rsid w:val="00E25BEA"/>
    <w:rsid w:val="00E263E6"/>
    <w:rsid w:val="00E276C4"/>
    <w:rsid w:val="00E277D6"/>
    <w:rsid w:val="00E27E03"/>
    <w:rsid w:val="00E30A70"/>
    <w:rsid w:val="00E30C41"/>
    <w:rsid w:val="00E31445"/>
    <w:rsid w:val="00E32ED3"/>
    <w:rsid w:val="00E33221"/>
    <w:rsid w:val="00E34D81"/>
    <w:rsid w:val="00E352A0"/>
    <w:rsid w:val="00E355D3"/>
    <w:rsid w:val="00E35FF0"/>
    <w:rsid w:val="00E3729F"/>
    <w:rsid w:val="00E37E37"/>
    <w:rsid w:val="00E40D7E"/>
    <w:rsid w:val="00E42CC9"/>
    <w:rsid w:val="00E433A7"/>
    <w:rsid w:val="00E4396F"/>
    <w:rsid w:val="00E43E01"/>
    <w:rsid w:val="00E43F30"/>
    <w:rsid w:val="00E4576E"/>
    <w:rsid w:val="00E476B3"/>
    <w:rsid w:val="00E47C77"/>
    <w:rsid w:val="00E5037E"/>
    <w:rsid w:val="00E5063A"/>
    <w:rsid w:val="00E50AB6"/>
    <w:rsid w:val="00E517D4"/>
    <w:rsid w:val="00E522FF"/>
    <w:rsid w:val="00E52CC6"/>
    <w:rsid w:val="00E537F7"/>
    <w:rsid w:val="00E54190"/>
    <w:rsid w:val="00E5558E"/>
    <w:rsid w:val="00E55D71"/>
    <w:rsid w:val="00E5604E"/>
    <w:rsid w:val="00E560FE"/>
    <w:rsid w:val="00E56842"/>
    <w:rsid w:val="00E56A2D"/>
    <w:rsid w:val="00E571F2"/>
    <w:rsid w:val="00E57EBF"/>
    <w:rsid w:val="00E603F2"/>
    <w:rsid w:val="00E60A22"/>
    <w:rsid w:val="00E6168A"/>
    <w:rsid w:val="00E62D71"/>
    <w:rsid w:val="00E63C28"/>
    <w:rsid w:val="00E647CA"/>
    <w:rsid w:val="00E649C0"/>
    <w:rsid w:val="00E64F71"/>
    <w:rsid w:val="00E6506D"/>
    <w:rsid w:val="00E66948"/>
    <w:rsid w:val="00E66AEB"/>
    <w:rsid w:val="00E67784"/>
    <w:rsid w:val="00E70664"/>
    <w:rsid w:val="00E70C0D"/>
    <w:rsid w:val="00E712BF"/>
    <w:rsid w:val="00E715D9"/>
    <w:rsid w:val="00E7193E"/>
    <w:rsid w:val="00E7208C"/>
    <w:rsid w:val="00E721F5"/>
    <w:rsid w:val="00E7269C"/>
    <w:rsid w:val="00E7290F"/>
    <w:rsid w:val="00E72D6D"/>
    <w:rsid w:val="00E7342A"/>
    <w:rsid w:val="00E73549"/>
    <w:rsid w:val="00E752E3"/>
    <w:rsid w:val="00E7676C"/>
    <w:rsid w:val="00E76862"/>
    <w:rsid w:val="00E76912"/>
    <w:rsid w:val="00E76CD1"/>
    <w:rsid w:val="00E77668"/>
    <w:rsid w:val="00E80181"/>
    <w:rsid w:val="00E82DA8"/>
    <w:rsid w:val="00E83151"/>
    <w:rsid w:val="00E8352E"/>
    <w:rsid w:val="00E83727"/>
    <w:rsid w:val="00E83BEF"/>
    <w:rsid w:val="00E83CF5"/>
    <w:rsid w:val="00E84822"/>
    <w:rsid w:val="00E848CE"/>
    <w:rsid w:val="00E84AD2"/>
    <w:rsid w:val="00E853E2"/>
    <w:rsid w:val="00E853FE"/>
    <w:rsid w:val="00E85484"/>
    <w:rsid w:val="00E855BC"/>
    <w:rsid w:val="00E85C98"/>
    <w:rsid w:val="00E85F05"/>
    <w:rsid w:val="00E86572"/>
    <w:rsid w:val="00E870A8"/>
    <w:rsid w:val="00E904D7"/>
    <w:rsid w:val="00E90A56"/>
    <w:rsid w:val="00E91289"/>
    <w:rsid w:val="00E91810"/>
    <w:rsid w:val="00E93951"/>
    <w:rsid w:val="00E94891"/>
    <w:rsid w:val="00E94AF4"/>
    <w:rsid w:val="00E94F4D"/>
    <w:rsid w:val="00E953DF"/>
    <w:rsid w:val="00E95E84"/>
    <w:rsid w:val="00E96730"/>
    <w:rsid w:val="00E96E30"/>
    <w:rsid w:val="00E96F61"/>
    <w:rsid w:val="00E974DB"/>
    <w:rsid w:val="00E97845"/>
    <w:rsid w:val="00E97EAD"/>
    <w:rsid w:val="00EA1EC6"/>
    <w:rsid w:val="00EA3D1E"/>
    <w:rsid w:val="00EA44A6"/>
    <w:rsid w:val="00EA5322"/>
    <w:rsid w:val="00EA6BCD"/>
    <w:rsid w:val="00EB0176"/>
    <w:rsid w:val="00EB1273"/>
    <w:rsid w:val="00EB16F2"/>
    <w:rsid w:val="00EB2FAE"/>
    <w:rsid w:val="00EB3103"/>
    <w:rsid w:val="00EB34B2"/>
    <w:rsid w:val="00EB374D"/>
    <w:rsid w:val="00EB3D4F"/>
    <w:rsid w:val="00EB4268"/>
    <w:rsid w:val="00EB4AF5"/>
    <w:rsid w:val="00EB5382"/>
    <w:rsid w:val="00EB5A07"/>
    <w:rsid w:val="00EB6528"/>
    <w:rsid w:val="00EB6B3E"/>
    <w:rsid w:val="00EC1F14"/>
    <w:rsid w:val="00EC3596"/>
    <w:rsid w:val="00EC393A"/>
    <w:rsid w:val="00EC3B11"/>
    <w:rsid w:val="00EC3CAB"/>
    <w:rsid w:val="00EC3E1F"/>
    <w:rsid w:val="00EC4AEA"/>
    <w:rsid w:val="00EC4D79"/>
    <w:rsid w:val="00EC4F1E"/>
    <w:rsid w:val="00EC584A"/>
    <w:rsid w:val="00EC6516"/>
    <w:rsid w:val="00EC724A"/>
    <w:rsid w:val="00ED017C"/>
    <w:rsid w:val="00ED0C77"/>
    <w:rsid w:val="00ED0F22"/>
    <w:rsid w:val="00ED0F99"/>
    <w:rsid w:val="00ED1BDD"/>
    <w:rsid w:val="00ED2626"/>
    <w:rsid w:val="00ED2CF4"/>
    <w:rsid w:val="00ED3BBE"/>
    <w:rsid w:val="00ED414F"/>
    <w:rsid w:val="00ED41CE"/>
    <w:rsid w:val="00ED65DD"/>
    <w:rsid w:val="00EE02F5"/>
    <w:rsid w:val="00EE0CBF"/>
    <w:rsid w:val="00EE0FA1"/>
    <w:rsid w:val="00EE15EF"/>
    <w:rsid w:val="00EE178A"/>
    <w:rsid w:val="00EE1CE1"/>
    <w:rsid w:val="00EE251D"/>
    <w:rsid w:val="00EE255A"/>
    <w:rsid w:val="00EE3CCF"/>
    <w:rsid w:val="00EE3D95"/>
    <w:rsid w:val="00EE3E04"/>
    <w:rsid w:val="00EE4184"/>
    <w:rsid w:val="00EE42BD"/>
    <w:rsid w:val="00EE50BE"/>
    <w:rsid w:val="00EE6056"/>
    <w:rsid w:val="00EE640E"/>
    <w:rsid w:val="00EE644C"/>
    <w:rsid w:val="00EE754B"/>
    <w:rsid w:val="00EE7D33"/>
    <w:rsid w:val="00EF0C63"/>
    <w:rsid w:val="00EF191B"/>
    <w:rsid w:val="00EF1A35"/>
    <w:rsid w:val="00EF37BD"/>
    <w:rsid w:val="00EF39AA"/>
    <w:rsid w:val="00EF5286"/>
    <w:rsid w:val="00EF5B68"/>
    <w:rsid w:val="00EF5E3E"/>
    <w:rsid w:val="00EF629E"/>
    <w:rsid w:val="00EF6B11"/>
    <w:rsid w:val="00EF71C7"/>
    <w:rsid w:val="00EF741C"/>
    <w:rsid w:val="00EF74CA"/>
    <w:rsid w:val="00F006C3"/>
    <w:rsid w:val="00F007B6"/>
    <w:rsid w:val="00F0111F"/>
    <w:rsid w:val="00F0192B"/>
    <w:rsid w:val="00F021AB"/>
    <w:rsid w:val="00F03037"/>
    <w:rsid w:val="00F03259"/>
    <w:rsid w:val="00F048C1"/>
    <w:rsid w:val="00F058CE"/>
    <w:rsid w:val="00F05A01"/>
    <w:rsid w:val="00F05F05"/>
    <w:rsid w:val="00F066EB"/>
    <w:rsid w:val="00F076CB"/>
    <w:rsid w:val="00F07984"/>
    <w:rsid w:val="00F10716"/>
    <w:rsid w:val="00F11960"/>
    <w:rsid w:val="00F133D8"/>
    <w:rsid w:val="00F137DB"/>
    <w:rsid w:val="00F13FCC"/>
    <w:rsid w:val="00F14146"/>
    <w:rsid w:val="00F1419A"/>
    <w:rsid w:val="00F143F5"/>
    <w:rsid w:val="00F15609"/>
    <w:rsid w:val="00F15853"/>
    <w:rsid w:val="00F15BC3"/>
    <w:rsid w:val="00F16147"/>
    <w:rsid w:val="00F164BE"/>
    <w:rsid w:val="00F16CAF"/>
    <w:rsid w:val="00F175F1"/>
    <w:rsid w:val="00F1785E"/>
    <w:rsid w:val="00F17E3D"/>
    <w:rsid w:val="00F20B7B"/>
    <w:rsid w:val="00F20E4A"/>
    <w:rsid w:val="00F21A80"/>
    <w:rsid w:val="00F21DB5"/>
    <w:rsid w:val="00F2217C"/>
    <w:rsid w:val="00F23A1F"/>
    <w:rsid w:val="00F240AE"/>
    <w:rsid w:val="00F240C7"/>
    <w:rsid w:val="00F2495D"/>
    <w:rsid w:val="00F24B6A"/>
    <w:rsid w:val="00F26A4F"/>
    <w:rsid w:val="00F26D12"/>
    <w:rsid w:val="00F30668"/>
    <w:rsid w:val="00F30C85"/>
    <w:rsid w:val="00F313B0"/>
    <w:rsid w:val="00F31798"/>
    <w:rsid w:val="00F317C4"/>
    <w:rsid w:val="00F320B5"/>
    <w:rsid w:val="00F323CE"/>
    <w:rsid w:val="00F3299A"/>
    <w:rsid w:val="00F32D83"/>
    <w:rsid w:val="00F33DDF"/>
    <w:rsid w:val="00F33EE1"/>
    <w:rsid w:val="00F346ED"/>
    <w:rsid w:val="00F34DE8"/>
    <w:rsid w:val="00F36639"/>
    <w:rsid w:val="00F36B73"/>
    <w:rsid w:val="00F377F0"/>
    <w:rsid w:val="00F37800"/>
    <w:rsid w:val="00F37A6E"/>
    <w:rsid w:val="00F4074C"/>
    <w:rsid w:val="00F408C7"/>
    <w:rsid w:val="00F40A11"/>
    <w:rsid w:val="00F42ACF"/>
    <w:rsid w:val="00F430C9"/>
    <w:rsid w:val="00F438A1"/>
    <w:rsid w:val="00F440BE"/>
    <w:rsid w:val="00F462E4"/>
    <w:rsid w:val="00F46C64"/>
    <w:rsid w:val="00F46CBE"/>
    <w:rsid w:val="00F5179E"/>
    <w:rsid w:val="00F51C6B"/>
    <w:rsid w:val="00F52405"/>
    <w:rsid w:val="00F52A1B"/>
    <w:rsid w:val="00F539D9"/>
    <w:rsid w:val="00F54A73"/>
    <w:rsid w:val="00F55A5A"/>
    <w:rsid w:val="00F55B40"/>
    <w:rsid w:val="00F55B8B"/>
    <w:rsid w:val="00F56593"/>
    <w:rsid w:val="00F56C34"/>
    <w:rsid w:val="00F61821"/>
    <w:rsid w:val="00F61D58"/>
    <w:rsid w:val="00F61FEC"/>
    <w:rsid w:val="00F62168"/>
    <w:rsid w:val="00F627D4"/>
    <w:rsid w:val="00F62956"/>
    <w:rsid w:val="00F62EF7"/>
    <w:rsid w:val="00F649FB"/>
    <w:rsid w:val="00F64B5E"/>
    <w:rsid w:val="00F65F89"/>
    <w:rsid w:val="00F6748A"/>
    <w:rsid w:val="00F67E90"/>
    <w:rsid w:val="00F70330"/>
    <w:rsid w:val="00F7131B"/>
    <w:rsid w:val="00F7155D"/>
    <w:rsid w:val="00F725AD"/>
    <w:rsid w:val="00F738CE"/>
    <w:rsid w:val="00F73DD2"/>
    <w:rsid w:val="00F7450E"/>
    <w:rsid w:val="00F74FAC"/>
    <w:rsid w:val="00F76054"/>
    <w:rsid w:val="00F76739"/>
    <w:rsid w:val="00F773D3"/>
    <w:rsid w:val="00F7748C"/>
    <w:rsid w:val="00F7767F"/>
    <w:rsid w:val="00F7778E"/>
    <w:rsid w:val="00F8034B"/>
    <w:rsid w:val="00F82A9E"/>
    <w:rsid w:val="00F82DA1"/>
    <w:rsid w:val="00F83018"/>
    <w:rsid w:val="00F8340F"/>
    <w:rsid w:val="00F8443C"/>
    <w:rsid w:val="00F84C0C"/>
    <w:rsid w:val="00F8582D"/>
    <w:rsid w:val="00F86D23"/>
    <w:rsid w:val="00F873ED"/>
    <w:rsid w:val="00F87915"/>
    <w:rsid w:val="00F87D38"/>
    <w:rsid w:val="00F90584"/>
    <w:rsid w:val="00F90765"/>
    <w:rsid w:val="00F91114"/>
    <w:rsid w:val="00F9130F"/>
    <w:rsid w:val="00F91371"/>
    <w:rsid w:val="00F91969"/>
    <w:rsid w:val="00F9373D"/>
    <w:rsid w:val="00F937E6"/>
    <w:rsid w:val="00F943F3"/>
    <w:rsid w:val="00F94822"/>
    <w:rsid w:val="00F969AD"/>
    <w:rsid w:val="00F96B3C"/>
    <w:rsid w:val="00F9793F"/>
    <w:rsid w:val="00FA0276"/>
    <w:rsid w:val="00FA0290"/>
    <w:rsid w:val="00FA06AE"/>
    <w:rsid w:val="00FA1499"/>
    <w:rsid w:val="00FA22D8"/>
    <w:rsid w:val="00FA27EC"/>
    <w:rsid w:val="00FA391B"/>
    <w:rsid w:val="00FA3E4F"/>
    <w:rsid w:val="00FA62A9"/>
    <w:rsid w:val="00FA64AF"/>
    <w:rsid w:val="00FA6BF8"/>
    <w:rsid w:val="00FA740E"/>
    <w:rsid w:val="00FB14F7"/>
    <w:rsid w:val="00FB1E25"/>
    <w:rsid w:val="00FB25D2"/>
    <w:rsid w:val="00FB392D"/>
    <w:rsid w:val="00FB4C25"/>
    <w:rsid w:val="00FB4DCF"/>
    <w:rsid w:val="00FB67C6"/>
    <w:rsid w:val="00FB6FF1"/>
    <w:rsid w:val="00FB778B"/>
    <w:rsid w:val="00FB77B2"/>
    <w:rsid w:val="00FB7C03"/>
    <w:rsid w:val="00FC02E1"/>
    <w:rsid w:val="00FC07C4"/>
    <w:rsid w:val="00FC0B40"/>
    <w:rsid w:val="00FC0CA4"/>
    <w:rsid w:val="00FC1F37"/>
    <w:rsid w:val="00FC2575"/>
    <w:rsid w:val="00FC2A2B"/>
    <w:rsid w:val="00FC3777"/>
    <w:rsid w:val="00FC3ACB"/>
    <w:rsid w:val="00FC3B1F"/>
    <w:rsid w:val="00FC4266"/>
    <w:rsid w:val="00FC4B25"/>
    <w:rsid w:val="00FC7248"/>
    <w:rsid w:val="00FC7D32"/>
    <w:rsid w:val="00FD0BA9"/>
    <w:rsid w:val="00FD0D6B"/>
    <w:rsid w:val="00FD11A7"/>
    <w:rsid w:val="00FD1F19"/>
    <w:rsid w:val="00FD28DB"/>
    <w:rsid w:val="00FD4214"/>
    <w:rsid w:val="00FD424E"/>
    <w:rsid w:val="00FD4313"/>
    <w:rsid w:val="00FD45FB"/>
    <w:rsid w:val="00FD52EC"/>
    <w:rsid w:val="00FD609B"/>
    <w:rsid w:val="00FD6184"/>
    <w:rsid w:val="00FD67D1"/>
    <w:rsid w:val="00FD6E9C"/>
    <w:rsid w:val="00FD73EE"/>
    <w:rsid w:val="00FE0FF7"/>
    <w:rsid w:val="00FE194D"/>
    <w:rsid w:val="00FE1A07"/>
    <w:rsid w:val="00FE1A30"/>
    <w:rsid w:val="00FE1AE1"/>
    <w:rsid w:val="00FE1F8B"/>
    <w:rsid w:val="00FE214C"/>
    <w:rsid w:val="00FE237D"/>
    <w:rsid w:val="00FE499A"/>
    <w:rsid w:val="00FE502C"/>
    <w:rsid w:val="00FE547F"/>
    <w:rsid w:val="00FE57C8"/>
    <w:rsid w:val="00FE5B5F"/>
    <w:rsid w:val="00FE6827"/>
    <w:rsid w:val="00FE7988"/>
    <w:rsid w:val="00FE7E89"/>
    <w:rsid w:val="00FF091C"/>
    <w:rsid w:val="00FF18D5"/>
    <w:rsid w:val="00FF2C5A"/>
    <w:rsid w:val="00FF31D0"/>
    <w:rsid w:val="00FF3491"/>
    <w:rsid w:val="00FF499A"/>
    <w:rsid w:val="00FF4FDD"/>
    <w:rsid w:val="00FF51DB"/>
    <w:rsid w:val="00FF6517"/>
    <w:rsid w:val="35F9304A"/>
    <w:rsid w:val="4E6F0DB3"/>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8989143"/>
  <w15:docId w15:val="{A1969FE1-C572-4107-A884-D56BB179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26480"/>
    <w:pPr>
      <w:spacing w:after="160" w:line="259" w:lineRule="auto"/>
    </w:pPr>
    <w:rPr>
      <w:sz w:val="22"/>
      <w:szCs w:val="22"/>
      <w:lang w:val="en-US" w:eastAsia="en-US"/>
    </w:rPr>
  </w:style>
  <w:style w:type="paragraph" w:styleId="10">
    <w:name w:val="heading 1"/>
    <w:basedOn w:val="a0"/>
    <w:next w:val="a0"/>
    <w:link w:val="1Char"/>
    <w:uiPriority w:val="9"/>
    <w:qFormat/>
    <w:pPr>
      <w:keepNext/>
      <w:keepLines/>
      <w:numPr>
        <w:numId w:val="1"/>
      </w:numPr>
      <w:spacing w:before="240" w:after="0"/>
      <w:outlineLvl w:val="0"/>
    </w:pPr>
    <w:rPr>
      <w:rFonts w:asciiTheme="majorHAnsi" w:eastAsiaTheme="majorEastAsia" w:hAnsiTheme="majorHAnsi" w:cstheme="majorBidi"/>
      <w:color w:val="1481AB" w:themeColor="accent1" w:themeShade="BF"/>
      <w:sz w:val="32"/>
      <w:szCs w:val="32"/>
    </w:rPr>
  </w:style>
  <w:style w:type="paragraph" w:styleId="2">
    <w:name w:val="heading 2"/>
    <w:basedOn w:val="a0"/>
    <w:next w:val="a0"/>
    <w:link w:val="2Char"/>
    <w:uiPriority w:val="9"/>
    <w:unhideWhenUsed/>
    <w:qFormat/>
    <w:pPr>
      <w:keepNext/>
      <w:keepLines/>
      <w:numPr>
        <w:ilvl w:val="1"/>
        <w:numId w:val="1"/>
      </w:numPr>
      <w:spacing w:before="40" w:after="0"/>
      <w:ind w:right="-144"/>
      <w:jc w:val="both"/>
      <w:outlineLvl w:val="1"/>
    </w:pPr>
    <w:rPr>
      <w:rFonts w:asciiTheme="majorHAnsi" w:eastAsiaTheme="majorEastAsia" w:hAnsiTheme="majorHAnsi" w:cstheme="majorBidi"/>
      <w:b/>
      <w:bCs/>
      <w:color w:val="000000" w:themeColor="text1"/>
      <w:sz w:val="28"/>
      <w:szCs w:val="28"/>
      <w:lang w:val="el-GR"/>
    </w:rPr>
  </w:style>
  <w:style w:type="paragraph" w:styleId="3">
    <w:name w:val="heading 3"/>
    <w:basedOn w:val="a0"/>
    <w:next w:val="a0"/>
    <w:link w:val="3Char"/>
    <w:uiPriority w:val="9"/>
    <w:unhideWhenUsed/>
    <w:qFormat/>
    <w:pPr>
      <w:keepNext/>
      <w:keepLines/>
      <w:numPr>
        <w:ilvl w:val="2"/>
        <w:numId w:val="1"/>
      </w:numPr>
      <w:spacing w:before="40" w:after="0"/>
      <w:outlineLvl w:val="2"/>
    </w:pPr>
    <w:rPr>
      <w:rFonts w:asciiTheme="majorHAnsi" w:eastAsiaTheme="majorEastAsia" w:hAnsiTheme="majorHAnsi" w:cstheme="majorBidi"/>
      <w:color w:val="0D5672" w:themeColor="accent1" w:themeShade="80"/>
      <w:sz w:val="24"/>
      <w:szCs w:val="24"/>
    </w:rPr>
  </w:style>
  <w:style w:type="paragraph" w:styleId="4">
    <w:name w:val="heading 4"/>
    <w:basedOn w:val="a0"/>
    <w:next w:val="a0"/>
    <w:link w:val="4Ch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1481AB" w:themeColor="accent1" w:themeShade="BF"/>
    </w:rPr>
  </w:style>
  <w:style w:type="paragraph" w:styleId="5">
    <w:name w:val="heading 5"/>
    <w:basedOn w:val="a0"/>
    <w:next w:val="a0"/>
    <w:link w:val="5Ch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1481AB" w:themeColor="accent1" w:themeShade="BF"/>
    </w:rPr>
  </w:style>
  <w:style w:type="paragraph" w:styleId="6">
    <w:name w:val="heading 6"/>
    <w:basedOn w:val="a0"/>
    <w:next w:val="a0"/>
    <w:link w:val="6Ch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0D5672" w:themeColor="accent1" w:themeShade="80"/>
    </w:rPr>
  </w:style>
  <w:style w:type="paragraph" w:styleId="7">
    <w:name w:val="heading 7"/>
    <w:basedOn w:val="a0"/>
    <w:next w:val="a0"/>
    <w:link w:val="7Ch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0D5672" w:themeColor="accent1" w:themeShade="80"/>
    </w:rPr>
  </w:style>
  <w:style w:type="paragraph" w:styleId="8">
    <w:name w:val="heading 8"/>
    <w:basedOn w:val="a0"/>
    <w:next w:val="a0"/>
    <w:link w:val="8Ch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0"/>
    <w:next w:val="a0"/>
    <w:link w:val="9Ch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Char"/>
    <w:uiPriority w:val="99"/>
    <w:semiHidden/>
    <w:unhideWhenUsed/>
    <w:pPr>
      <w:spacing w:after="0" w:line="240" w:lineRule="auto"/>
    </w:pPr>
    <w:rPr>
      <w:rFonts w:ascii="Segoe UI" w:hAnsi="Segoe UI" w:cs="Segoe UI"/>
      <w:sz w:val="18"/>
      <w:szCs w:val="18"/>
    </w:rPr>
  </w:style>
  <w:style w:type="paragraph" w:styleId="a5">
    <w:name w:val="caption"/>
    <w:basedOn w:val="a0"/>
    <w:next w:val="a0"/>
    <w:uiPriority w:val="35"/>
    <w:unhideWhenUsed/>
    <w:qFormat/>
    <w:pPr>
      <w:spacing w:after="200" w:line="240" w:lineRule="auto"/>
    </w:pPr>
    <w:rPr>
      <w:i/>
      <w:iCs/>
      <w:color w:val="335B74" w:themeColor="text2"/>
      <w:sz w:val="18"/>
      <w:szCs w:val="18"/>
    </w:rPr>
  </w:style>
  <w:style w:type="character" w:styleId="a6">
    <w:name w:val="annotation reference"/>
    <w:basedOn w:val="a1"/>
    <w:uiPriority w:val="99"/>
    <w:semiHidden/>
    <w:unhideWhenUsed/>
    <w:rPr>
      <w:sz w:val="16"/>
      <w:szCs w:val="16"/>
    </w:rPr>
  </w:style>
  <w:style w:type="paragraph" w:styleId="a7">
    <w:name w:val="annotation text"/>
    <w:basedOn w:val="a0"/>
    <w:link w:val="Char0"/>
    <w:uiPriority w:val="99"/>
    <w:unhideWhenUsed/>
    <w:pPr>
      <w:spacing w:line="240" w:lineRule="auto"/>
    </w:pPr>
    <w:rPr>
      <w:sz w:val="20"/>
      <w:szCs w:val="20"/>
    </w:rPr>
  </w:style>
  <w:style w:type="paragraph" w:styleId="a8">
    <w:name w:val="annotation subject"/>
    <w:basedOn w:val="a7"/>
    <w:next w:val="a7"/>
    <w:link w:val="Char1"/>
    <w:uiPriority w:val="99"/>
    <w:semiHidden/>
    <w:unhideWhenUsed/>
    <w:rPr>
      <w:b/>
      <w:bCs/>
    </w:rPr>
  </w:style>
  <w:style w:type="character" w:styleId="-">
    <w:name w:val="FollowedHyperlink"/>
    <w:basedOn w:val="a1"/>
    <w:uiPriority w:val="99"/>
    <w:semiHidden/>
    <w:unhideWhenUsed/>
    <w:rPr>
      <w:color w:val="B26B02" w:themeColor="followedHyperlink"/>
      <w:u w:val="single"/>
    </w:rPr>
  </w:style>
  <w:style w:type="paragraph" w:styleId="a9">
    <w:name w:val="footer"/>
    <w:basedOn w:val="a0"/>
    <w:link w:val="Char2"/>
    <w:uiPriority w:val="99"/>
    <w:unhideWhenUsed/>
    <w:qFormat/>
    <w:pPr>
      <w:tabs>
        <w:tab w:val="center" w:pos="4680"/>
        <w:tab w:val="right" w:pos="9360"/>
      </w:tabs>
      <w:spacing w:after="0" w:line="240" w:lineRule="auto"/>
    </w:pPr>
  </w:style>
  <w:style w:type="character" w:styleId="aa">
    <w:name w:val="footnote reference"/>
    <w:aliases w:val="Footnote symbol,Footnote,υποσημείωση1,Footnote Refernece,Fn Ref,Footnote Reference Superscript,Footnote reference number,note TESI,4_G,4_G Char Char Char Char,Footnotes refss Char Char Char Char,ftref Char Char Char Char,10 pt,FR"/>
    <w:basedOn w:val="a1"/>
    <w:link w:val="4GCharCharChar"/>
    <w:uiPriority w:val="99"/>
    <w:unhideWhenUsed/>
    <w:qFormat/>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a0"/>
    <w:link w:val="aa"/>
    <w:uiPriority w:val="99"/>
    <w:qFormat/>
    <w:pPr>
      <w:spacing w:after="0" w:line="240" w:lineRule="exact"/>
      <w:jc w:val="both"/>
    </w:pPr>
    <w:rPr>
      <w:vertAlign w:val="superscript"/>
    </w:rPr>
  </w:style>
  <w:style w:type="paragraph" w:styleId="ab">
    <w:name w:val="footnote text"/>
    <w:aliases w:val=" Char,Point 3 Char,Footnote text,ESPON Footnote Text,Schriftart: 9 pt,Schriftart: 10 pt,Schriftart: 8 pt,Κείμενο υποσημείωσης-KATERINA,Char Char Char,footnotes,Footnote Text Char2 Char,Footnote Text Char1,5_G,Fußnotentext RAXEN,fn,o"/>
    <w:basedOn w:val="a0"/>
    <w:link w:val="Char3"/>
    <w:uiPriority w:val="99"/>
    <w:unhideWhenUsed/>
    <w:qFormat/>
    <w:pPr>
      <w:spacing w:after="0" w:line="240" w:lineRule="auto"/>
    </w:pPr>
    <w:rPr>
      <w:sz w:val="20"/>
      <w:szCs w:val="20"/>
    </w:rPr>
  </w:style>
  <w:style w:type="paragraph" w:styleId="ac">
    <w:name w:val="header"/>
    <w:basedOn w:val="a0"/>
    <w:link w:val="Char4"/>
    <w:uiPriority w:val="99"/>
    <w:unhideWhenUsed/>
    <w:pPr>
      <w:tabs>
        <w:tab w:val="center" w:pos="4680"/>
        <w:tab w:val="right" w:pos="9360"/>
      </w:tabs>
      <w:spacing w:after="0" w:line="240" w:lineRule="auto"/>
    </w:pPr>
  </w:style>
  <w:style w:type="paragraph" w:styleId="-HTML">
    <w:name w:val="HTML Preformatted"/>
    <w:basedOn w:val="a0"/>
    <w:link w:val="-HTML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styleId="-0">
    <w:name w:val="Hyperlink"/>
    <w:basedOn w:val="a1"/>
    <w:uiPriority w:val="99"/>
    <w:unhideWhenUsed/>
    <w:rPr>
      <w:color w:val="6EAC1C" w:themeColor="hyperlink"/>
      <w:u w:val="single"/>
    </w:rPr>
  </w:style>
  <w:style w:type="paragraph" w:styleId="Web">
    <w:name w:val="Normal (Web)"/>
    <w:basedOn w:val="a0"/>
    <w:uiPriority w:val="99"/>
    <w:pPr>
      <w:spacing w:before="100" w:beforeAutospacing="1" w:after="100" w:afterAutospacing="1" w:line="240" w:lineRule="auto"/>
      <w:jc w:val="both"/>
    </w:pPr>
    <w:rPr>
      <w:rFonts w:ascii="Calibri" w:eastAsia="Times New Roman" w:hAnsi="Calibri" w:cs="Times New Roman"/>
      <w:sz w:val="24"/>
      <w:szCs w:val="24"/>
    </w:rPr>
  </w:style>
  <w:style w:type="character" w:styleId="ad">
    <w:name w:val="Strong"/>
    <w:uiPriority w:val="22"/>
    <w:qFormat/>
    <w:rPr>
      <w:b/>
      <w:bCs/>
    </w:rPr>
  </w:style>
  <w:style w:type="paragraph" w:styleId="ae">
    <w:name w:val="Subtitle"/>
    <w:basedOn w:val="a0"/>
    <w:next w:val="a0"/>
    <w:link w:val="Char5"/>
    <w:qFormat/>
    <w:pPr>
      <w:spacing w:line="276" w:lineRule="auto"/>
      <w:jc w:val="both"/>
    </w:pPr>
    <w:rPr>
      <w:rFonts w:eastAsiaTheme="minorEastAsia"/>
      <w:color w:val="595959" w:themeColor="text1" w:themeTint="A6"/>
      <w:spacing w:val="15"/>
      <w:lang w:val="el-GR" w:eastAsia="el-GR"/>
    </w:rPr>
  </w:style>
  <w:style w:type="table" w:styleId="af">
    <w:name w:val="Table Grid"/>
    <w:basedOn w:val="a2"/>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table of figures"/>
    <w:basedOn w:val="a0"/>
    <w:next w:val="a0"/>
    <w:uiPriority w:val="99"/>
    <w:unhideWhenUsed/>
    <w:pPr>
      <w:spacing w:after="0"/>
    </w:pPr>
  </w:style>
  <w:style w:type="paragraph" w:styleId="af1">
    <w:name w:val="Title"/>
    <w:basedOn w:val="a0"/>
    <w:next w:val="a0"/>
    <w:link w:val="Char6"/>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11">
    <w:name w:val="toc 1"/>
    <w:basedOn w:val="a0"/>
    <w:next w:val="a0"/>
    <w:uiPriority w:val="39"/>
    <w:unhideWhenUsed/>
    <w:pPr>
      <w:tabs>
        <w:tab w:val="left" w:pos="440"/>
        <w:tab w:val="right" w:leader="dot" w:pos="9203"/>
      </w:tabs>
      <w:spacing w:after="100"/>
      <w:ind w:left="426" w:hanging="426"/>
    </w:pPr>
  </w:style>
  <w:style w:type="paragraph" w:styleId="20">
    <w:name w:val="toc 2"/>
    <w:basedOn w:val="a0"/>
    <w:next w:val="a0"/>
    <w:uiPriority w:val="39"/>
    <w:unhideWhenUsed/>
    <w:pPr>
      <w:spacing w:after="100"/>
      <w:ind w:left="220"/>
    </w:pPr>
  </w:style>
  <w:style w:type="paragraph" w:styleId="30">
    <w:name w:val="toc 3"/>
    <w:basedOn w:val="a0"/>
    <w:next w:val="a0"/>
    <w:uiPriority w:val="39"/>
    <w:unhideWhenUsed/>
    <w:pPr>
      <w:spacing w:after="100"/>
      <w:ind w:left="440"/>
    </w:pPr>
    <w:rPr>
      <w:rFonts w:eastAsiaTheme="minorEastAsia" w:cs="Times New Roman"/>
      <w:lang w:val="el-GR" w:eastAsia="el-GR"/>
    </w:rPr>
  </w:style>
  <w:style w:type="character" w:customStyle="1" w:styleId="Char4">
    <w:name w:val="Κεφαλίδα Char"/>
    <w:basedOn w:val="a1"/>
    <w:link w:val="ac"/>
    <w:uiPriority w:val="99"/>
    <w:qFormat/>
  </w:style>
  <w:style w:type="character" w:customStyle="1" w:styleId="Char2">
    <w:name w:val="Υποσέλιδο Char"/>
    <w:basedOn w:val="a1"/>
    <w:link w:val="a9"/>
    <w:uiPriority w:val="99"/>
    <w:qFormat/>
  </w:style>
  <w:style w:type="character" w:customStyle="1" w:styleId="Char6">
    <w:name w:val="Τίτλος Char"/>
    <w:basedOn w:val="a1"/>
    <w:link w:val="af1"/>
    <w:uiPriority w:val="10"/>
    <w:rPr>
      <w:rFonts w:asciiTheme="majorHAnsi" w:eastAsiaTheme="majorEastAsia" w:hAnsiTheme="majorHAnsi" w:cstheme="majorBidi"/>
      <w:spacing w:val="-10"/>
      <w:kern w:val="28"/>
      <w:sz w:val="56"/>
      <w:szCs w:val="56"/>
    </w:rPr>
  </w:style>
  <w:style w:type="character" w:customStyle="1" w:styleId="1Char">
    <w:name w:val="Επικεφαλίδα 1 Char"/>
    <w:basedOn w:val="a1"/>
    <w:link w:val="10"/>
    <w:uiPriority w:val="9"/>
    <w:rPr>
      <w:rFonts w:asciiTheme="majorHAnsi" w:eastAsiaTheme="majorEastAsia" w:hAnsiTheme="majorHAnsi" w:cstheme="majorBidi"/>
      <w:color w:val="1481AB" w:themeColor="accent1" w:themeShade="BF"/>
      <w:sz w:val="32"/>
      <w:szCs w:val="32"/>
      <w:lang w:val="en-US" w:eastAsia="en-US"/>
    </w:rPr>
  </w:style>
  <w:style w:type="character" w:customStyle="1" w:styleId="2Char">
    <w:name w:val="Επικεφαλίδα 2 Char"/>
    <w:basedOn w:val="a1"/>
    <w:link w:val="2"/>
    <w:uiPriority w:val="9"/>
    <w:rPr>
      <w:rFonts w:asciiTheme="majorHAnsi" w:eastAsiaTheme="majorEastAsia" w:hAnsiTheme="majorHAnsi" w:cstheme="majorBidi"/>
      <w:b/>
      <w:bCs/>
      <w:color w:val="000000" w:themeColor="text1"/>
      <w:sz w:val="28"/>
      <w:szCs w:val="28"/>
      <w:lang w:eastAsia="en-US"/>
    </w:rPr>
  </w:style>
  <w:style w:type="character" w:customStyle="1" w:styleId="3Char">
    <w:name w:val="Επικεφαλίδα 3 Char"/>
    <w:basedOn w:val="a1"/>
    <w:link w:val="3"/>
    <w:uiPriority w:val="9"/>
    <w:rPr>
      <w:rFonts w:asciiTheme="majorHAnsi" w:eastAsiaTheme="majorEastAsia" w:hAnsiTheme="majorHAnsi" w:cstheme="majorBidi"/>
      <w:color w:val="0D5672" w:themeColor="accent1" w:themeShade="80"/>
      <w:sz w:val="24"/>
      <w:szCs w:val="24"/>
      <w:lang w:val="en-US" w:eastAsia="en-US"/>
    </w:rPr>
  </w:style>
  <w:style w:type="character" w:customStyle="1" w:styleId="4Char">
    <w:name w:val="Επικεφαλίδα 4 Char"/>
    <w:basedOn w:val="a1"/>
    <w:link w:val="4"/>
    <w:uiPriority w:val="9"/>
    <w:semiHidden/>
    <w:rPr>
      <w:rFonts w:asciiTheme="majorHAnsi" w:eastAsiaTheme="majorEastAsia" w:hAnsiTheme="majorHAnsi" w:cstheme="majorBidi"/>
      <w:i/>
      <w:iCs/>
      <w:color w:val="1481AB" w:themeColor="accent1" w:themeShade="BF"/>
      <w:sz w:val="22"/>
      <w:szCs w:val="22"/>
      <w:lang w:val="en-US" w:eastAsia="en-US"/>
    </w:rPr>
  </w:style>
  <w:style w:type="character" w:customStyle="1" w:styleId="5Char">
    <w:name w:val="Επικεφαλίδα 5 Char"/>
    <w:basedOn w:val="a1"/>
    <w:link w:val="5"/>
    <w:uiPriority w:val="9"/>
    <w:semiHidden/>
    <w:rPr>
      <w:rFonts w:asciiTheme="majorHAnsi" w:eastAsiaTheme="majorEastAsia" w:hAnsiTheme="majorHAnsi" w:cstheme="majorBidi"/>
      <w:color w:val="1481AB" w:themeColor="accent1" w:themeShade="BF"/>
      <w:sz w:val="22"/>
      <w:szCs w:val="22"/>
      <w:lang w:val="en-US" w:eastAsia="en-US"/>
    </w:rPr>
  </w:style>
  <w:style w:type="character" w:customStyle="1" w:styleId="6Char">
    <w:name w:val="Επικεφαλίδα 6 Char"/>
    <w:basedOn w:val="a1"/>
    <w:link w:val="6"/>
    <w:uiPriority w:val="9"/>
    <w:semiHidden/>
    <w:rPr>
      <w:rFonts w:asciiTheme="majorHAnsi" w:eastAsiaTheme="majorEastAsia" w:hAnsiTheme="majorHAnsi" w:cstheme="majorBidi"/>
      <w:color w:val="0D5672" w:themeColor="accent1" w:themeShade="80"/>
      <w:sz w:val="22"/>
      <w:szCs w:val="22"/>
      <w:lang w:val="en-US" w:eastAsia="en-US"/>
    </w:rPr>
  </w:style>
  <w:style w:type="character" w:customStyle="1" w:styleId="7Char">
    <w:name w:val="Επικεφαλίδα 7 Char"/>
    <w:basedOn w:val="a1"/>
    <w:link w:val="7"/>
    <w:uiPriority w:val="9"/>
    <w:semiHidden/>
    <w:rPr>
      <w:rFonts w:asciiTheme="majorHAnsi" w:eastAsiaTheme="majorEastAsia" w:hAnsiTheme="majorHAnsi" w:cstheme="majorBidi"/>
      <w:i/>
      <w:iCs/>
      <w:color w:val="0D5672" w:themeColor="accent1" w:themeShade="80"/>
      <w:sz w:val="22"/>
      <w:szCs w:val="22"/>
      <w:lang w:val="en-US" w:eastAsia="en-US"/>
    </w:rPr>
  </w:style>
  <w:style w:type="character" w:customStyle="1" w:styleId="8Char">
    <w:name w:val="Επικεφαλίδα 8 Char"/>
    <w:basedOn w:val="a1"/>
    <w:link w:val="8"/>
    <w:uiPriority w:val="9"/>
    <w:semiHidden/>
    <w:rPr>
      <w:rFonts w:asciiTheme="majorHAnsi" w:eastAsiaTheme="majorEastAsia" w:hAnsiTheme="majorHAnsi" w:cstheme="majorBidi"/>
      <w:color w:val="262626" w:themeColor="text1" w:themeTint="D9"/>
      <w:sz w:val="21"/>
      <w:szCs w:val="21"/>
      <w:lang w:val="en-US" w:eastAsia="en-US"/>
    </w:rPr>
  </w:style>
  <w:style w:type="character" w:customStyle="1" w:styleId="9Char">
    <w:name w:val="Επικεφαλίδα 9 Char"/>
    <w:basedOn w:val="a1"/>
    <w:link w:val="9"/>
    <w:uiPriority w:val="9"/>
    <w:semiHidden/>
    <w:rPr>
      <w:rFonts w:asciiTheme="majorHAnsi" w:eastAsiaTheme="majorEastAsia" w:hAnsiTheme="majorHAnsi" w:cstheme="majorBidi"/>
      <w:i/>
      <w:iCs/>
      <w:color w:val="262626" w:themeColor="text1" w:themeTint="D9"/>
      <w:sz w:val="21"/>
      <w:szCs w:val="21"/>
      <w:lang w:val="en-US" w:eastAsia="en-US"/>
    </w:rPr>
  </w:style>
  <w:style w:type="character" w:styleId="af2">
    <w:name w:val="Placeholder Text"/>
    <w:basedOn w:val="a1"/>
    <w:uiPriority w:val="99"/>
    <w:semiHidden/>
    <w:rPr>
      <w:color w:val="808080"/>
    </w:rPr>
  </w:style>
  <w:style w:type="character" w:customStyle="1" w:styleId="Char3">
    <w:name w:val="Κείμενο υποσημείωσης Char"/>
    <w:aliases w:val=" Char Char,Point 3 Char Char,Footnote text Char,ESPON Footnote Text Char,Schriftart: 9 pt Char,Schriftart: 10 pt Char,Schriftart: 8 pt Char,Κείμενο υποσημείωσης-KATERINA Char,Char Char Char Char,footnotes Char,5_G Char,fn Char"/>
    <w:basedOn w:val="a1"/>
    <w:link w:val="ab"/>
    <w:uiPriority w:val="99"/>
    <w:qFormat/>
    <w:rPr>
      <w:sz w:val="20"/>
      <w:szCs w:val="20"/>
    </w:rPr>
  </w:style>
  <w:style w:type="character" w:customStyle="1" w:styleId="12">
    <w:name w:val="Ανεπίλυτη αναφορά1"/>
    <w:basedOn w:val="a1"/>
    <w:uiPriority w:val="99"/>
    <w:semiHidden/>
    <w:unhideWhenUsed/>
    <w:rPr>
      <w:color w:val="808080"/>
      <w:shd w:val="clear" w:color="auto" w:fill="E6E6E6"/>
    </w:rPr>
  </w:style>
  <w:style w:type="paragraph" w:styleId="af3">
    <w:name w:val="List Paragraph"/>
    <w:basedOn w:val="a0"/>
    <w:link w:val="Char7"/>
    <w:uiPriority w:val="34"/>
    <w:qFormat/>
    <w:pPr>
      <w:ind w:left="720"/>
      <w:contextualSpacing/>
    </w:pPr>
  </w:style>
  <w:style w:type="paragraph" w:customStyle="1" w:styleId="13">
    <w:name w:val="Επικεφαλίδα ΠΠ1"/>
    <w:basedOn w:val="10"/>
    <w:next w:val="a0"/>
    <w:uiPriority w:val="39"/>
    <w:unhideWhenUsed/>
    <w:qFormat/>
    <w:pPr>
      <w:outlineLvl w:val="9"/>
    </w:pPr>
  </w:style>
  <w:style w:type="paragraph" w:customStyle="1" w:styleId="Default">
    <w:name w:val="Default"/>
    <w:pPr>
      <w:autoSpaceDE w:val="0"/>
      <w:autoSpaceDN w:val="0"/>
      <w:adjustRightInd w:val="0"/>
    </w:pPr>
    <w:rPr>
      <w:rFonts w:ascii="Book Antiqua" w:hAnsi="Book Antiqua" w:cs="Book Antiqua"/>
      <w:color w:val="000000"/>
      <w:sz w:val="24"/>
      <w:szCs w:val="24"/>
      <w:lang w:eastAsia="en-US"/>
    </w:rPr>
  </w:style>
  <w:style w:type="character" w:customStyle="1" w:styleId="21">
    <w:name w:val="Ανεπίλυτη αναφορά2"/>
    <w:basedOn w:val="a1"/>
    <w:uiPriority w:val="99"/>
    <w:semiHidden/>
    <w:unhideWhenUsed/>
    <w:rPr>
      <w:color w:val="605E5C"/>
      <w:shd w:val="clear" w:color="auto" w:fill="E1DFDD"/>
    </w:rPr>
  </w:style>
  <w:style w:type="table" w:customStyle="1" w:styleId="2-51">
    <w:name w:val="Πίνακας 2 με πλέγμα - Έμφαση 51"/>
    <w:basedOn w:val="a2"/>
    <w:uiPriority w:val="47"/>
    <w:tblPr>
      <w:tblBorders>
        <w:top w:val="single" w:sz="2" w:space="0" w:color="7EC492" w:themeColor="accent5" w:themeTint="99"/>
        <w:bottom w:val="single" w:sz="2" w:space="0" w:color="7EC492" w:themeColor="accent5" w:themeTint="99"/>
        <w:insideH w:val="single" w:sz="2" w:space="0" w:color="7EC492" w:themeColor="accent5" w:themeTint="99"/>
        <w:insideV w:val="single" w:sz="2" w:space="0" w:color="7EC492" w:themeColor="accent5" w:themeTint="99"/>
      </w:tblBorders>
    </w:tblPr>
    <w:tblStylePr w:type="firstRow">
      <w:rPr>
        <w:b/>
        <w:bCs/>
      </w:rPr>
      <w:tblPr/>
      <w:tcPr>
        <w:tcBorders>
          <w:top w:val="nil"/>
          <w:bottom w:val="single" w:sz="12" w:space="0" w:color="7EC492" w:themeColor="accent5" w:themeTint="99"/>
          <w:insideH w:val="nil"/>
          <w:insideV w:val="nil"/>
        </w:tcBorders>
        <w:shd w:val="clear" w:color="auto" w:fill="FFFFFF" w:themeFill="background1"/>
      </w:tcPr>
    </w:tblStylePr>
    <w:tblStylePr w:type="lastRow">
      <w:rPr>
        <w:b/>
        <w:bCs/>
      </w:rPr>
      <w:tblPr/>
      <w:tcPr>
        <w:tcBorders>
          <w:top w:val="double" w:sz="2" w:space="0" w:color="7EC49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BDA" w:themeFill="accent5" w:themeFillTint="33"/>
      </w:tcPr>
    </w:tblStylePr>
    <w:tblStylePr w:type="band1Horz">
      <w:tblPr/>
      <w:tcPr>
        <w:shd w:val="clear" w:color="auto" w:fill="D3EBDA" w:themeFill="accent5" w:themeFillTint="33"/>
      </w:tcPr>
    </w:tblStylePr>
  </w:style>
  <w:style w:type="table" w:customStyle="1" w:styleId="1-21">
    <w:name w:val="Πίνακας 1 με ανοιχτόχρωμο πλέγμα - Έμφαση 21"/>
    <w:basedOn w:val="a2"/>
    <w:uiPriority w:val="46"/>
    <w:tblPr>
      <w:tblBorders>
        <w:top w:val="single" w:sz="4" w:space="0" w:color="A3CEED" w:themeColor="accent2" w:themeTint="66"/>
        <w:left w:val="single" w:sz="4" w:space="0" w:color="A3CEED" w:themeColor="accent2" w:themeTint="66"/>
        <w:bottom w:val="single" w:sz="4" w:space="0" w:color="A3CEED" w:themeColor="accent2" w:themeTint="66"/>
        <w:right w:val="single" w:sz="4" w:space="0" w:color="A3CEED" w:themeColor="accent2" w:themeTint="66"/>
        <w:insideH w:val="single" w:sz="4" w:space="0" w:color="A3CEED" w:themeColor="accent2" w:themeTint="66"/>
        <w:insideV w:val="single" w:sz="4" w:space="0" w:color="A3CEED" w:themeColor="accent2" w:themeTint="66"/>
      </w:tblBorders>
    </w:tblPr>
    <w:tblStylePr w:type="firstRow">
      <w:rPr>
        <w:b/>
        <w:bCs/>
      </w:rPr>
      <w:tblPr/>
      <w:tcPr>
        <w:tcBorders>
          <w:bottom w:val="single" w:sz="12" w:space="0" w:color="74B5E4" w:themeColor="accent2" w:themeTint="99"/>
        </w:tcBorders>
      </w:tcPr>
    </w:tblStylePr>
    <w:tblStylePr w:type="lastRow">
      <w:rPr>
        <w:b/>
        <w:bCs/>
      </w:rPr>
      <w:tblPr/>
      <w:tcPr>
        <w:tcBorders>
          <w:top w:val="double" w:sz="2" w:space="0" w:color="74B5E4" w:themeColor="accent2" w:themeTint="99"/>
        </w:tcBorders>
      </w:tcPr>
    </w:tblStylePr>
    <w:tblStylePr w:type="firstCol">
      <w:rPr>
        <w:b/>
        <w:bCs/>
      </w:rPr>
    </w:tblStylePr>
    <w:tblStylePr w:type="lastCol">
      <w:rPr>
        <w:b/>
        <w:bCs/>
      </w:rPr>
    </w:tblStylePr>
  </w:style>
  <w:style w:type="character" w:customStyle="1" w:styleId="Char">
    <w:name w:val="Κείμενο πλαισίου Char"/>
    <w:basedOn w:val="a1"/>
    <w:link w:val="a4"/>
    <w:uiPriority w:val="99"/>
    <w:semiHidden/>
    <w:rPr>
      <w:rFonts w:ascii="Segoe UI" w:hAnsi="Segoe UI" w:cs="Segoe UI"/>
      <w:sz w:val="18"/>
      <w:szCs w:val="18"/>
    </w:rPr>
  </w:style>
  <w:style w:type="table" w:customStyle="1" w:styleId="110">
    <w:name w:val="Απλός πίνακας 11"/>
    <w:basedOn w:val="a2"/>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
    <w:name w:val="Απλός πίνακας 51"/>
    <w:basedOn w:val="a2"/>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har0">
    <w:name w:val="Κείμενο σχολίου Char"/>
    <w:basedOn w:val="a1"/>
    <w:link w:val="a7"/>
    <w:uiPriority w:val="99"/>
    <w:rPr>
      <w:sz w:val="20"/>
      <w:szCs w:val="20"/>
    </w:rPr>
  </w:style>
  <w:style w:type="character" w:customStyle="1" w:styleId="Char1">
    <w:name w:val="Θέμα σχολίου Char"/>
    <w:basedOn w:val="Char0"/>
    <w:link w:val="a8"/>
    <w:uiPriority w:val="99"/>
    <w:semiHidden/>
    <w:rPr>
      <w:b/>
      <w:bCs/>
      <w:sz w:val="20"/>
      <w:szCs w:val="20"/>
    </w:rPr>
  </w:style>
  <w:style w:type="table" w:customStyle="1" w:styleId="4-61">
    <w:name w:val="Πίνακας 4 με πλέγμα - Έμφαση 61"/>
    <w:basedOn w:val="a2"/>
    <w:uiPriority w:val="49"/>
    <w:tblPr>
      <w:tblBorders>
        <w:top w:val="single" w:sz="4" w:space="0" w:color="A0C7C5" w:themeColor="accent6" w:themeTint="99"/>
        <w:left w:val="single" w:sz="4" w:space="0" w:color="A0C7C5" w:themeColor="accent6" w:themeTint="99"/>
        <w:bottom w:val="single" w:sz="4" w:space="0" w:color="A0C7C5" w:themeColor="accent6" w:themeTint="99"/>
        <w:right w:val="single" w:sz="4" w:space="0" w:color="A0C7C5" w:themeColor="accent6" w:themeTint="99"/>
        <w:insideH w:val="single" w:sz="4" w:space="0" w:color="A0C7C5" w:themeColor="accent6" w:themeTint="99"/>
        <w:insideV w:val="single" w:sz="4" w:space="0" w:color="A0C7C5" w:themeColor="accent6" w:themeTint="99"/>
      </w:tblBorders>
    </w:tblPr>
    <w:tblStylePr w:type="firstRow">
      <w:rPr>
        <w:b/>
        <w:bCs/>
        <w:color w:val="FFFFFF" w:themeColor="background1"/>
      </w:rPr>
      <w:tblPr/>
      <w:tcPr>
        <w:tcBorders>
          <w:top w:val="single" w:sz="4" w:space="0" w:color="62A39F" w:themeColor="accent6"/>
          <w:left w:val="single" w:sz="4" w:space="0" w:color="62A39F" w:themeColor="accent6"/>
          <w:bottom w:val="single" w:sz="4" w:space="0" w:color="62A39F" w:themeColor="accent6"/>
          <w:right w:val="single" w:sz="4" w:space="0" w:color="62A39F" w:themeColor="accent6"/>
          <w:insideH w:val="nil"/>
          <w:insideV w:val="nil"/>
        </w:tcBorders>
        <w:shd w:val="clear" w:color="auto" w:fill="62A39F" w:themeFill="accent6"/>
      </w:tcPr>
    </w:tblStylePr>
    <w:tblStylePr w:type="lastRow">
      <w:rPr>
        <w:b/>
        <w:bCs/>
      </w:rPr>
      <w:tblPr/>
      <w:tcPr>
        <w:tcBorders>
          <w:top w:val="double" w:sz="4" w:space="0" w:color="62A39F" w:themeColor="accent6"/>
        </w:tcBorders>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character" w:customStyle="1" w:styleId="st">
    <w:name w:val="st"/>
    <w:basedOn w:val="a1"/>
  </w:style>
  <w:style w:type="table" w:customStyle="1" w:styleId="4-41">
    <w:name w:val="Πίνακας 4 με πλέγμα - Έμφαση 41"/>
    <w:basedOn w:val="a2"/>
    <w:uiPriority w:val="49"/>
    <w:tblPr>
      <w:tblBorders>
        <w:top w:val="single" w:sz="4" w:space="0" w:color="8CD6C0" w:themeColor="accent4" w:themeTint="99"/>
        <w:left w:val="single" w:sz="4" w:space="0" w:color="8CD6C0" w:themeColor="accent4" w:themeTint="99"/>
        <w:bottom w:val="single" w:sz="4" w:space="0" w:color="8CD6C0" w:themeColor="accent4" w:themeTint="99"/>
        <w:right w:val="single" w:sz="4" w:space="0" w:color="8CD6C0" w:themeColor="accent4" w:themeTint="99"/>
        <w:insideH w:val="single" w:sz="4" w:space="0" w:color="8CD6C0" w:themeColor="accent4" w:themeTint="99"/>
        <w:insideV w:val="single" w:sz="4" w:space="0" w:color="8CD6C0" w:themeColor="accent4" w:themeTint="99"/>
      </w:tblBorders>
    </w:tblPr>
    <w:tblStylePr w:type="firstRow">
      <w:rPr>
        <w:b/>
        <w:bCs/>
        <w:color w:val="FFFFFF" w:themeColor="background1"/>
      </w:rPr>
      <w:tblPr/>
      <w:tcPr>
        <w:tcBorders>
          <w:top w:val="single" w:sz="4" w:space="0" w:color="42BA97" w:themeColor="accent4"/>
          <w:left w:val="single" w:sz="4" w:space="0" w:color="42BA97" w:themeColor="accent4"/>
          <w:bottom w:val="single" w:sz="4" w:space="0" w:color="42BA97" w:themeColor="accent4"/>
          <w:right w:val="single" w:sz="4" w:space="0" w:color="42BA97" w:themeColor="accent4"/>
          <w:insideH w:val="nil"/>
          <w:insideV w:val="nil"/>
        </w:tcBorders>
        <w:shd w:val="clear" w:color="auto" w:fill="42BA97" w:themeFill="accent4"/>
      </w:tcPr>
    </w:tblStylePr>
    <w:tblStylePr w:type="lastRow">
      <w:rPr>
        <w:b/>
        <w:bCs/>
      </w:rPr>
      <w:tblPr/>
      <w:tcPr>
        <w:tcBorders>
          <w:top w:val="double" w:sz="4" w:space="0" w:color="42BA97" w:themeColor="accent4"/>
        </w:tcBorders>
      </w:tcPr>
    </w:tblStylePr>
    <w:tblStylePr w:type="firstCol">
      <w:rPr>
        <w:b/>
        <w:bCs/>
      </w:rPr>
    </w:tblStylePr>
    <w:tblStylePr w:type="lastCol">
      <w:rPr>
        <w:b/>
        <w:bCs/>
      </w:rPr>
    </w:tblStylePr>
    <w:tblStylePr w:type="band1Vert">
      <w:tblPr/>
      <w:tcPr>
        <w:shd w:val="clear" w:color="auto" w:fill="D8F1EA" w:themeFill="accent4" w:themeFillTint="33"/>
      </w:tcPr>
    </w:tblStylePr>
    <w:tblStylePr w:type="band1Horz">
      <w:tblPr/>
      <w:tcPr>
        <w:shd w:val="clear" w:color="auto" w:fill="D8F1EA" w:themeFill="accent4" w:themeFillTint="33"/>
      </w:tcPr>
    </w:tblStylePr>
  </w:style>
  <w:style w:type="table" w:customStyle="1" w:styleId="5-21">
    <w:name w:val="Πίνακας 5 με σκούρο πλέγμα - Έμφαση 21"/>
    <w:basedOn w:val="a2"/>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2"/>
      </w:tcPr>
    </w:tblStylePr>
    <w:tblStylePr w:type="band1Vert">
      <w:tblPr/>
      <w:tcPr>
        <w:shd w:val="clear" w:color="auto" w:fill="A3CEED" w:themeFill="accent2" w:themeFillTint="66"/>
      </w:tcPr>
    </w:tblStylePr>
    <w:tblStylePr w:type="band1Horz">
      <w:tblPr/>
      <w:tcPr>
        <w:shd w:val="clear" w:color="auto" w:fill="A3CEED" w:themeFill="accent2" w:themeFillTint="66"/>
      </w:tcPr>
    </w:tblStylePr>
  </w:style>
  <w:style w:type="table" w:customStyle="1" w:styleId="1-31">
    <w:name w:val="Πίνακας 1 με ανοιχτόχρωμο πλέγμα - Έμφαση 31"/>
    <w:basedOn w:val="a2"/>
    <w:uiPriority w:val="46"/>
    <w:tblPr>
      <w:tblBorders>
        <w:top w:val="single" w:sz="4" w:space="0" w:color="A8EBEF" w:themeColor="accent3" w:themeTint="66"/>
        <w:left w:val="single" w:sz="4" w:space="0" w:color="A8EBEF" w:themeColor="accent3" w:themeTint="66"/>
        <w:bottom w:val="single" w:sz="4" w:space="0" w:color="A8EBEF" w:themeColor="accent3" w:themeTint="66"/>
        <w:right w:val="single" w:sz="4" w:space="0" w:color="A8EBEF" w:themeColor="accent3" w:themeTint="66"/>
        <w:insideH w:val="single" w:sz="4" w:space="0" w:color="A8EBEF" w:themeColor="accent3" w:themeTint="66"/>
        <w:insideV w:val="single" w:sz="4" w:space="0" w:color="A8EBEF" w:themeColor="accent3" w:themeTint="66"/>
      </w:tblBorders>
    </w:tblPr>
    <w:tblStylePr w:type="firstRow">
      <w:rPr>
        <w:b/>
        <w:bCs/>
      </w:rPr>
      <w:tblPr/>
      <w:tcPr>
        <w:tcBorders>
          <w:bottom w:val="single" w:sz="12" w:space="0" w:color="7CE1E7" w:themeColor="accent3" w:themeTint="99"/>
        </w:tcBorders>
      </w:tcPr>
    </w:tblStylePr>
    <w:tblStylePr w:type="lastRow">
      <w:rPr>
        <w:b/>
        <w:bCs/>
      </w:rPr>
      <w:tblPr/>
      <w:tcPr>
        <w:tcBorders>
          <w:top w:val="double" w:sz="2" w:space="0" w:color="7CE1E7" w:themeColor="accent3" w:themeTint="99"/>
        </w:tcBorders>
      </w:tcPr>
    </w:tblStylePr>
    <w:tblStylePr w:type="firstCol">
      <w:rPr>
        <w:b/>
        <w:bCs/>
      </w:rPr>
    </w:tblStylePr>
    <w:tblStylePr w:type="lastCol">
      <w:rPr>
        <w:b/>
        <w:bCs/>
      </w:rPr>
    </w:tblStylePr>
  </w:style>
  <w:style w:type="character" w:customStyle="1" w:styleId="-HTMLChar">
    <w:name w:val="Προ-διαμορφωμένο HTML Char"/>
    <w:basedOn w:val="a1"/>
    <w:link w:val="-HTML"/>
    <w:uiPriority w:val="99"/>
    <w:rPr>
      <w:rFonts w:ascii="Courier New" w:eastAsia="Times New Roman" w:hAnsi="Courier New" w:cs="Courier New"/>
      <w:sz w:val="20"/>
      <w:szCs w:val="20"/>
      <w:lang w:val="el-GR" w:eastAsia="el-GR"/>
    </w:rPr>
  </w:style>
  <w:style w:type="character" w:customStyle="1" w:styleId="smalltext">
    <w:name w:val="smalltext"/>
    <w:basedOn w:val="a1"/>
  </w:style>
  <w:style w:type="table" w:customStyle="1" w:styleId="111">
    <w:name w:val="Πίνακας 1 με ανοιχτόχρωμο πλέγμα1"/>
    <w:basedOn w:val="a2"/>
    <w:uiPriority w:val="4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1">
    <w:name w:val="Ανεπίλυτη αναφορά3"/>
    <w:basedOn w:val="a1"/>
    <w:uiPriority w:val="99"/>
    <w:semiHidden/>
    <w:unhideWhenUsed/>
    <w:rPr>
      <w:color w:val="605E5C"/>
      <w:shd w:val="clear" w:color="auto" w:fill="E1DFDD"/>
    </w:rPr>
  </w:style>
  <w:style w:type="character" w:customStyle="1" w:styleId="tlid-translation">
    <w:name w:val="tlid-translation"/>
    <w:basedOn w:val="a1"/>
  </w:style>
  <w:style w:type="table" w:customStyle="1" w:styleId="210">
    <w:name w:val="Απλός πίνακας 21"/>
    <w:basedOn w:val="a2"/>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14">
    <w:name w:val="Αναθεώρηση1"/>
    <w:hidden/>
    <w:uiPriority w:val="99"/>
    <w:semiHidden/>
    <w:rPr>
      <w:sz w:val="22"/>
      <w:szCs w:val="22"/>
      <w:lang w:val="en-US" w:eastAsia="en-US"/>
    </w:rPr>
  </w:style>
  <w:style w:type="character" w:customStyle="1" w:styleId="Char7">
    <w:name w:val="Παράγραφος λίστας Char"/>
    <w:basedOn w:val="a1"/>
    <w:link w:val="af3"/>
    <w:uiPriority w:val="34"/>
  </w:style>
  <w:style w:type="character" w:customStyle="1" w:styleId="Char5">
    <w:name w:val="Υπότιτλος Char"/>
    <w:basedOn w:val="a1"/>
    <w:link w:val="ae"/>
    <w:rPr>
      <w:rFonts w:eastAsiaTheme="minorEastAsia"/>
      <w:color w:val="595959" w:themeColor="text1" w:themeTint="A6"/>
      <w:spacing w:val="15"/>
      <w:lang w:val="el-GR" w:eastAsia="el-GR"/>
    </w:rPr>
  </w:style>
  <w:style w:type="paragraph" w:styleId="af4">
    <w:name w:val="No Spacing"/>
    <w:link w:val="Char8"/>
    <w:uiPriority w:val="1"/>
    <w:qFormat/>
    <w:rPr>
      <w:rFonts w:ascii="Times New Roman" w:eastAsia="Times New Roman" w:hAnsi="Times New Roman" w:cs="Times New Roman"/>
      <w:sz w:val="22"/>
      <w:szCs w:val="22"/>
      <w:lang w:val="fr-BE" w:eastAsia="en-US"/>
    </w:rPr>
  </w:style>
  <w:style w:type="character" w:customStyle="1" w:styleId="markedcontent">
    <w:name w:val="markedcontent"/>
    <w:basedOn w:val="a1"/>
  </w:style>
  <w:style w:type="character" w:customStyle="1" w:styleId="40">
    <w:name w:val="Ανεπίλυτη αναφορά4"/>
    <w:basedOn w:val="a1"/>
    <w:uiPriority w:val="99"/>
    <w:semiHidden/>
    <w:unhideWhenUsed/>
    <w:rPr>
      <w:color w:val="605E5C"/>
      <w:shd w:val="clear" w:color="auto" w:fill="E1DFDD"/>
    </w:rPr>
  </w:style>
  <w:style w:type="character" w:customStyle="1" w:styleId="50">
    <w:name w:val="Ανεπίλυτη αναφορά5"/>
    <w:basedOn w:val="a1"/>
    <w:uiPriority w:val="99"/>
    <w:semiHidden/>
    <w:unhideWhenUsed/>
    <w:rPr>
      <w:color w:val="605E5C"/>
      <w:shd w:val="clear" w:color="auto" w:fill="E1DFDD"/>
    </w:rPr>
  </w:style>
  <w:style w:type="character" w:customStyle="1" w:styleId="pg-2ff2">
    <w:name w:val="pg-2ff2"/>
    <w:basedOn w:val="a1"/>
    <w:rsid w:val="00FE499A"/>
  </w:style>
  <w:style w:type="character" w:customStyle="1" w:styleId="af5">
    <w:name w:val="_"/>
    <w:basedOn w:val="a1"/>
    <w:rsid w:val="00FE499A"/>
  </w:style>
  <w:style w:type="character" w:customStyle="1" w:styleId="pg-2ff3">
    <w:name w:val="pg-2ff3"/>
    <w:basedOn w:val="a1"/>
    <w:rsid w:val="00FE499A"/>
  </w:style>
  <w:style w:type="character" w:styleId="af6">
    <w:name w:val="Unresolved Mention"/>
    <w:basedOn w:val="a1"/>
    <w:uiPriority w:val="99"/>
    <w:semiHidden/>
    <w:unhideWhenUsed/>
    <w:rsid w:val="005F7E7A"/>
    <w:rPr>
      <w:color w:val="605E5C"/>
      <w:shd w:val="clear" w:color="auto" w:fill="E1DFDD"/>
    </w:rPr>
  </w:style>
  <w:style w:type="character" w:styleId="af7">
    <w:name w:val="page number"/>
    <w:basedOn w:val="a1"/>
    <w:uiPriority w:val="99"/>
    <w:semiHidden/>
    <w:unhideWhenUsed/>
    <w:rsid w:val="00D25661"/>
  </w:style>
  <w:style w:type="paragraph" w:customStyle="1" w:styleId="15">
    <w:name w:val="Βασικό1"/>
    <w:rsid w:val="00AF3479"/>
    <w:pPr>
      <w:spacing w:before="100" w:beforeAutospacing="1" w:after="100" w:afterAutospacing="1" w:line="256" w:lineRule="auto"/>
    </w:pPr>
    <w:rPr>
      <w:rFonts w:ascii="Aptos" w:eastAsia="Times New Roman" w:hAnsi="Aptos" w:cs="Times New Roman"/>
      <w:sz w:val="24"/>
      <w:szCs w:val="24"/>
    </w:rPr>
  </w:style>
  <w:style w:type="character" w:customStyle="1" w:styleId="hgkelc">
    <w:name w:val="hgkelc"/>
    <w:basedOn w:val="a1"/>
    <w:rsid w:val="00AF3479"/>
  </w:style>
  <w:style w:type="character" w:customStyle="1" w:styleId="hidden">
    <w:name w:val="hidden"/>
    <w:basedOn w:val="a1"/>
    <w:rsid w:val="00464451"/>
  </w:style>
  <w:style w:type="character" w:customStyle="1" w:styleId="y2iqfc">
    <w:name w:val="y2iqfc"/>
    <w:basedOn w:val="a1"/>
    <w:rsid w:val="003A55E1"/>
  </w:style>
  <w:style w:type="character" w:customStyle="1" w:styleId="Char8">
    <w:name w:val="Χωρίς διάστιχο Char"/>
    <w:basedOn w:val="a1"/>
    <w:link w:val="af4"/>
    <w:uiPriority w:val="1"/>
    <w:rsid w:val="00375C70"/>
    <w:rPr>
      <w:rFonts w:ascii="Times New Roman" w:eastAsia="Times New Roman" w:hAnsi="Times New Roman" w:cs="Times New Roman"/>
      <w:sz w:val="22"/>
      <w:szCs w:val="22"/>
      <w:lang w:val="fr-BE" w:eastAsia="en-US"/>
    </w:rPr>
  </w:style>
  <w:style w:type="numbering" w:customStyle="1" w:styleId="1">
    <w:name w:val="Στυλ1"/>
    <w:uiPriority w:val="99"/>
    <w:rsid w:val="003677F5"/>
    <w:pPr>
      <w:numPr>
        <w:numId w:val="2"/>
      </w:numPr>
    </w:pPr>
  </w:style>
  <w:style w:type="paragraph" w:styleId="a">
    <w:name w:val="List Bullet"/>
    <w:basedOn w:val="a0"/>
    <w:uiPriority w:val="99"/>
    <w:unhideWhenUsed/>
    <w:rsid w:val="00FE5B5F"/>
    <w:pPr>
      <w:numPr>
        <w:numId w:val="3"/>
      </w:numPr>
      <w:spacing w:after="200" w:line="276" w:lineRule="auto"/>
      <w:contextualSpacing/>
    </w:pPr>
    <w:rPr>
      <w:rFonts w:eastAsiaTheme="minorEastAsia"/>
    </w:rPr>
  </w:style>
  <w:style w:type="table" w:styleId="2-4">
    <w:name w:val="Medium Grid 2 Accent 4"/>
    <w:basedOn w:val="a2"/>
    <w:uiPriority w:val="68"/>
    <w:rsid w:val="00FE5B5F"/>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2BA97" w:themeColor="accent4"/>
        <w:left w:val="single" w:sz="8" w:space="0" w:color="42BA97" w:themeColor="accent4"/>
        <w:bottom w:val="single" w:sz="8" w:space="0" w:color="42BA97" w:themeColor="accent4"/>
        <w:right w:val="single" w:sz="8" w:space="0" w:color="42BA97" w:themeColor="accent4"/>
        <w:insideH w:val="single" w:sz="8" w:space="0" w:color="42BA97" w:themeColor="accent4"/>
        <w:insideV w:val="single" w:sz="8" w:space="0" w:color="42BA97" w:themeColor="accent4"/>
      </w:tblBorders>
    </w:tblPr>
    <w:tcPr>
      <w:shd w:val="clear" w:color="auto" w:fill="CFEEE5" w:themeFill="accent4" w:themeFillTint="3F"/>
    </w:tcPr>
    <w:tblStylePr w:type="firstRow">
      <w:rPr>
        <w:b/>
        <w:bCs/>
        <w:color w:val="000000" w:themeColor="text1"/>
      </w:rPr>
      <w:tblPr/>
      <w:tcPr>
        <w:shd w:val="clear" w:color="auto" w:fill="ECF8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F1EA" w:themeFill="accent4" w:themeFillTint="33"/>
      </w:tcPr>
    </w:tblStylePr>
    <w:tblStylePr w:type="band1Vert">
      <w:tblPr/>
      <w:tcPr>
        <w:shd w:val="clear" w:color="auto" w:fill="A0DDCB" w:themeFill="accent4" w:themeFillTint="7F"/>
      </w:tcPr>
    </w:tblStylePr>
    <w:tblStylePr w:type="band1Horz">
      <w:tblPr/>
      <w:tcPr>
        <w:tcBorders>
          <w:insideH w:val="single" w:sz="6" w:space="0" w:color="42BA97" w:themeColor="accent4"/>
          <w:insideV w:val="single" w:sz="6" w:space="0" w:color="42BA97" w:themeColor="accent4"/>
        </w:tcBorders>
        <w:shd w:val="clear" w:color="auto" w:fill="A0DDCB" w:themeFill="accent4" w:themeFillTint="7F"/>
      </w:tcPr>
    </w:tblStylePr>
    <w:tblStylePr w:type="nwCell">
      <w:tblPr/>
      <w:tcPr>
        <w:shd w:val="clear" w:color="auto" w:fill="FFFFFF" w:themeFill="background1"/>
      </w:tcPr>
    </w:tblStylePr>
  </w:style>
  <w:style w:type="table" w:styleId="1-2">
    <w:name w:val="List Table 1 Light Accent 2"/>
    <w:basedOn w:val="a2"/>
    <w:uiPriority w:val="46"/>
    <w:rsid w:val="00FE5B5F"/>
    <w:tblPr>
      <w:tblStyleRowBandSize w:val="1"/>
      <w:tblStyleColBandSize w:val="1"/>
    </w:tblPr>
    <w:tblStylePr w:type="firstRow">
      <w:rPr>
        <w:b/>
        <w:bCs/>
      </w:rPr>
      <w:tblPr/>
      <w:tcPr>
        <w:tcBorders>
          <w:bottom w:val="single" w:sz="4" w:space="0" w:color="74B5E4" w:themeColor="accent2" w:themeTint="99"/>
        </w:tcBorders>
      </w:tcPr>
    </w:tblStylePr>
    <w:tblStylePr w:type="lastRow">
      <w:rPr>
        <w:b/>
        <w:bCs/>
      </w:rPr>
      <w:tblPr/>
      <w:tcPr>
        <w:tcBorders>
          <w:top w:val="single" w:sz="4" w:space="0" w:color="74B5E4" w:themeColor="accent2" w:themeTint="99"/>
        </w:tcBorders>
      </w:tcPr>
    </w:tblStylePr>
    <w:tblStylePr w:type="firstCol">
      <w:rPr>
        <w:b/>
        <w:bCs/>
      </w:rPr>
    </w:tblStylePr>
    <w:tblStylePr w:type="lastCol">
      <w:rPr>
        <w:b/>
        <w:bCs/>
      </w:rPr>
    </w:tblStylePr>
    <w:tblStylePr w:type="band1Vert">
      <w:tblPr/>
      <w:tcPr>
        <w:shd w:val="clear" w:color="auto" w:fill="D0E6F6" w:themeFill="accent2" w:themeFillTint="33"/>
      </w:tcPr>
    </w:tblStylePr>
    <w:tblStylePr w:type="band1Horz">
      <w:tblPr/>
      <w:tcPr>
        <w:shd w:val="clear" w:color="auto" w:fill="D0E6F6" w:themeFill="accent2" w:themeFillTint="33"/>
      </w:tcPr>
    </w:tblStylePr>
  </w:style>
  <w:style w:type="table" w:styleId="4-4">
    <w:name w:val="List Table 4 Accent 4"/>
    <w:basedOn w:val="a2"/>
    <w:uiPriority w:val="49"/>
    <w:rsid w:val="00FE5B5F"/>
    <w:tblPr>
      <w:tblStyleRowBandSize w:val="1"/>
      <w:tblStyleColBandSize w:val="1"/>
      <w:tblBorders>
        <w:top w:val="single" w:sz="4" w:space="0" w:color="8CD6C0" w:themeColor="accent4" w:themeTint="99"/>
        <w:left w:val="single" w:sz="4" w:space="0" w:color="8CD6C0" w:themeColor="accent4" w:themeTint="99"/>
        <w:bottom w:val="single" w:sz="4" w:space="0" w:color="8CD6C0" w:themeColor="accent4" w:themeTint="99"/>
        <w:right w:val="single" w:sz="4" w:space="0" w:color="8CD6C0" w:themeColor="accent4" w:themeTint="99"/>
        <w:insideH w:val="single" w:sz="4" w:space="0" w:color="8CD6C0" w:themeColor="accent4" w:themeTint="99"/>
      </w:tblBorders>
    </w:tblPr>
    <w:tblStylePr w:type="firstRow">
      <w:rPr>
        <w:b/>
        <w:bCs/>
        <w:color w:val="FFFFFF" w:themeColor="background1"/>
      </w:rPr>
      <w:tblPr/>
      <w:tcPr>
        <w:tcBorders>
          <w:top w:val="single" w:sz="4" w:space="0" w:color="42BA97" w:themeColor="accent4"/>
          <w:left w:val="single" w:sz="4" w:space="0" w:color="42BA97" w:themeColor="accent4"/>
          <w:bottom w:val="single" w:sz="4" w:space="0" w:color="42BA97" w:themeColor="accent4"/>
          <w:right w:val="single" w:sz="4" w:space="0" w:color="42BA97" w:themeColor="accent4"/>
          <w:insideH w:val="nil"/>
        </w:tcBorders>
        <w:shd w:val="clear" w:color="auto" w:fill="42BA97" w:themeFill="accent4"/>
      </w:tcPr>
    </w:tblStylePr>
    <w:tblStylePr w:type="lastRow">
      <w:rPr>
        <w:b/>
        <w:bCs/>
      </w:rPr>
      <w:tblPr/>
      <w:tcPr>
        <w:tcBorders>
          <w:top w:val="double" w:sz="4" w:space="0" w:color="8CD6C0" w:themeColor="accent4" w:themeTint="99"/>
        </w:tcBorders>
      </w:tcPr>
    </w:tblStylePr>
    <w:tblStylePr w:type="firstCol">
      <w:rPr>
        <w:b/>
        <w:bCs/>
      </w:rPr>
    </w:tblStylePr>
    <w:tblStylePr w:type="lastCol">
      <w:rPr>
        <w:b/>
        <w:bCs/>
      </w:rPr>
    </w:tblStylePr>
    <w:tblStylePr w:type="band1Vert">
      <w:tblPr/>
      <w:tcPr>
        <w:shd w:val="clear" w:color="auto" w:fill="D8F1EA" w:themeFill="accent4" w:themeFillTint="33"/>
      </w:tcPr>
    </w:tblStylePr>
    <w:tblStylePr w:type="band1Horz">
      <w:tblPr/>
      <w:tcPr>
        <w:shd w:val="clear" w:color="auto" w:fill="D8F1EA" w:themeFill="accent4" w:themeFillTint="33"/>
      </w:tcPr>
    </w:tblStylePr>
  </w:style>
  <w:style w:type="table" w:styleId="3-4">
    <w:name w:val="List Table 3 Accent 4"/>
    <w:basedOn w:val="a2"/>
    <w:uiPriority w:val="48"/>
    <w:rsid w:val="00FE5B5F"/>
    <w:tblPr>
      <w:tblStyleRowBandSize w:val="1"/>
      <w:tblStyleColBandSize w:val="1"/>
      <w:tblBorders>
        <w:top w:val="single" w:sz="4" w:space="0" w:color="42BA97" w:themeColor="accent4"/>
        <w:left w:val="single" w:sz="4" w:space="0" w:color="42BA97" w:themeColor="accent4"/>
        <w:bottom w:val="single" w:sz="4" w:space="0" w:color="42BA97" w:themeColor="accent4"/>
        <w:right w:val="single" w:sz="4" w:space="0" w:color="42BA97" w:themeColor="accent4"/>
      </w:tblBorders>
    </w:tblPr>
    <w:tblStylePr w:type="firstRow">
      <w:rPr>
        <w:b/>
        <w:bCs/>
        <w:color w:val="FFFFFF" w:themeColor="background1"/>
      </w:rPr>
      <w:tblPr/>
      <w:tcPr>
        <w:shd w:val="clear" w:color="auto" w:fill="42BA97" w:themeFill="accent4"/>
      </w:tcPr>
    </w:tblStylePr>
    <w:tblStylePr w:type="lastRow">
      <w:rPr>
        <w:b/>
        <w:bCs/>
      </w:rPr>
      <w:tblPr/>
      <w:tcPr>
        <w:tcBorders>
          <w:top w:val="double" w:sz="4" w:space="0" w:color="42BA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2BA97" w:themeColor="accent4"/>
          <w:right w:val="single" w:sz="4" w:space="0" w:color="42BA97" w:themeColor="accent4"/>
        </w:tcBorders>
      </w:tcPr>
    </w:tblStylePr>
    <w:tblStylePr w:type="band1Horz">
      <w:tblPr/>
      <w:tcPr>
        <w:tcBorders>
          <w:top w:val="single" w:sz="4" w:space="0" w:color="42BA97" w:themeColor="accent4"/>
          <w:bottom w:val="single" w:sz="4" w:space="0" w:color="42BA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2BA97" w:themeColor="accent4"/>
          <w:left w:val="nil"/>
        </w:tcBorders>
      </w:tcPr>
    </w:tblStylePr>
    <w:tblStylePr w:type="swCell">
      <w:tblPr/>
      <w:tcPr>
        <w:tcBorders>
          <w:top w:val="double" w:sz="4" w:space="0" w:color="42BA97" w:themeColor="accent4"/>
          <w:right w:val="nil"/>
        </w:tcBorders>
      </w:tcPr>
    </w:tblStylePr>
  </w:style>
  <w:style w:type="table" w:styleId="1-20">
    <w:name w:val="Grid Table 1 Light Accent 2"/>
    <w:basedOn w:val="a2"/>
    <w:uiPriority w:val="46"/>
    <w:rsid w:val="00342280"/>
    <w:rPr>
      <w:kern w:val="2"/>
      <w:sz w:val="22"/>
      <w:szCs w:val="22"/>
      <w:lang w:val="de-DE" w:eastAsia="en-US"/>
      <w14:ligatures w14:val="standardContextual"/>
    </w:rPr>
    <w:tblPr>
      <w:tblStyleRowBandSize w:val="1"/>
      <w:tblStyleColBandSize w:val="1"/>
      <w:tblBorders>
        <w:top w:val="single" w:sz="4" w:space="0" w:color="A3CEED" w:themeColor="accent2" w:themeTint="66"/>
        <w:left w:val="single" w:sz="4" w:space="0" w:color="A3CEED" w:themeColor="accent2" w:themeTint="66"/>
        <w:bottom w:val="single" w:sz="4" w:space="0" w:color="A3CEED" w:themeColor="accent2" w:themeTint="66"/>
        <w:right w:val="single" w:sz="4" w:space="0" w:color="A3CEED" w:themeColor="accent2" w:themeTint="66"/>
        <w:insideH w:val="single" w:sz="4" w:space="0" w:color="A3CEED" w:themeColor="accent2" w:themeTint="66"/>
        <w:insideV w:val="single" w:sz="4" w:space="0" w:color="A3CEED" w:themeColor="accent2" w:themeTint="66"/>
      </w:tblBorders>
    </w:tblPr>
    <w:tblStylePr w:type="firstRow">
      <w:rPr>
        <w:b/>
        <w:bCs/>
      </w:rPr>
      <w:tblPr/>
      <w:tcPr>
        <w:tcBorders>
          <w:bottom w:val="single" w:sz="12" w:space="0" w:color="74B5E4" w:themeColor="accent2" w:themeTint="99"/>
        </w:tcBorders>
      </w:tcPr>
    </w:tblStylePr>
    <w:tblStylePr w:type="lastRow">
      <w:rPr>
        <w:b/>
        <w:bCs/>
      </w:rPr>
      <w:tblPr/>
      <w:tcPr>
        <w:tcBorders>
          <w:top w:val="double" w:sz="2" w:space="0" w:color="74B5E4" w:themeColor="accent2" w:themeTint="99"/>
        </w:tcBorders>
      </w:tcPr>
    </w:tblStylePr>
    <w:tblStylePr w:type="firstCol">
      <w:rPr>
        <w:b/>
        <w:bCs/>
      </w:rPr>
    </w:tblStylePr>
    <w:tblStylePr w:type="lastCol">
      <w:rPr>
        <w:b/>
        <w:bCs/>
      </w:rPr>
    </w:tblStylePr>
  </w:style>
  <w:style w:type="table" w:customStyle="1" w:styleId="16">
    <w:name w:val="Πλέγμα πίνακα1"/>
    <w:basedOn w:val="a2"/>
    <w:next w:val="af"/>
    <w:uiPriority w:val="39"/>
    <w:rsid w:val="00A63CF4"/>
    <w:rPr>
      <w:kern w:val="2"/>
      <w:sz w:val="22"/>
      <w:szCs w:val="2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unhideWhenUsed/>
    <w:rsid w:val="00977213"/>
    <w:rPr>
      <w:sz w:val="22"/>
      <w:szCs w:val="22"/>
      <w:lang w:val="en-US" w:eastAsia="en-US"/>
    </w:rPr>
  </w:style>
  <w:style w:type="paragraph" w:styleId="af9">
    <w:name w:val="TOC Heading"/>
    <w:basedOn w:val="10"/>
    <w:next w:val="a0"/>
    <w:uiPriority w:val="39"/>
    <w:unhideWhenUsed/>
    <w:qFormat/>
    <w:rsid w:val="00C761A3"/>
    <w:pPr>
      <w:numPr>
        <w:numId w:val="0"/>
      </w:numPr>
      <w:outlineLvl w:val="9"/>
    </w:pPr>
    <w:rPr>
      <w:lang w:val="de-DE" w:eastAsia="de-DE"/>
    </w:rPr>
  </w:style>
  <w:style w:type="table" w:styleId="3-6">
    <w:name w:val="List Table 3 Accent 6"/>
    <w:basedOn w:val="a2"/>
    <w:uiPriority w:val="48"/>
    <w:rsid w:val="00080F8C"/>
    <w:tblPr>
      <w:tblStyleRowBandSize w:val="1"/>
      <w:tblStyleColBandSize w:val="1"/>
      <w:tblBorders>
        <w:top w:val="single" w:sz="4" w:space="0" w:color="62A39F" w:themeColor="accent6"/>
        <w:left w:val="single" w:sz="4" w:space="0" w:color="62A39F" w:themeColor="accent6"/>
        <w:bottom w:val="single" w:sz="4" w:space="0" w:color="62A39F" w:themeColor="accent6"/>
        <w:right w:val="single" w:sz="4" w:space="0" w:color="62A39F" w:themeColor="accent6"/>
      </w:tblBorders>
    </w:tblPr>
    <w:tblStylePr w:type="firstRow">
      <w:rPr>
        <w:b/>
        <w:bCs/>
        <w:color w:val="FFFFFF" w:themeColor="background1"/>
      </w:rPr>
      <w:tblPr/>
      <w:tcPr>
        <w:shd w:val="clear" w:color="auto" w:fill="62A39F" w:themeFill="accent6"/>
      </w:tcPr>
    </w:tblStylePr>
    <w:tblStylePr w:type="lastRow">
      <w:rPr>
        <w:b/>
        <w:bCs/>
      </w:rPr>
      <w:tblPr/>
      <w:tcPr>
        <w:tcBorders>
          <w:top w:val="double" w:sz="4" w:space="0" w:color="62A39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A39F" w:themeColor="accent6"/>
          <w:right w:val="single" w:sz="4" w:space="0" w:color="62A39F" w:themeColor="accent6"/>
        </w:tcBorders>
      </w:tcPr>
    </w:tblStylePr>
    <w:tblStylePr w:type="band1Horz">
      <w:tblPr/>
      <w:tcPr>
        <w:tcBorders>
          <w:top w:val="single" w:sz="4" w:space="0" w:color="62A39F" w:themeColor="accent6"/>
          <w:bottom w:val="single" w:sz="4" w:space="0" w:color="62A39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A39F" w:themeColor="accent6"/>
          <w:left w:val="nil"/>
        </w:tcBorders>
      </w:tcPr>
    </w:tblStylePr>
    <w:tblStylePr w:type="swCell">
      <w:tblPr/>
      <w:tcPr>
        <w:tcBorders>
          <w:top w:val="double" w:sz="4" w:space="0" w:color="62A39F" w:themeColor="accent6"/>
          <w:right w:val="nil"/>
        </w:tcBorders>
      </w:tcPr>
    </w:tblStylePr>
  </w:style>
  <w:style w:type="table" w:styleId="afa">
    <w:name w:val="Grid Table Light"/>
    <w:basedOn w:val="a2"/>
    <w:uiPriority w:val="40"/>
    <w:rsid w:val="00BC1366"/>
    <w:rPr>
      <w:kern w:val="2"/>
      <w:sz w:val="22"/>
      <w:szCs w:val="22"/>
      <w:lang w:val="de-DE"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5">
    <w:name w:val="Grid Table 1 Light Accent 5"/>
    <w:basedOn w:val="a2"/>
    <w:uiPriority w:val="46"/>
    <w:rsid w:val="00824DC6"/>
    <w:rPr>
      <w:kern w:val="2"/>
      <w:sz w:val="22"/>
      <w:szCs w:val="22"/>
      <w:lang w:val="de-DE" w:eastAsia="en-US"/>
      <w14:ligatures w14:val="standardContextual"/>
    </w:rPr>
    <w:tblPr>
      <w:tblStyleRowBandSize w:val="1"/>
      <w:tblStyleColBandSize w:val="1"/>
      <w:tblBorders>
        <w:top w:val="single" w:sz="4" w:space="0" w:color="A9D7B6" w:themeColor="accent5" w:themeTint="66"/>
        <w:left w:val="single" w:sz="4" w:space="0" w:color="A9D7B6" w:themeColor="accent5" w:themeTint="66"/>
        <w:bottom w:val="single" w:sz="4" w:space="0" w:color="A9D7B6" w:themeColor="accent5" w:themeTint="66"/>
        <w:right w:val="single" w:sz="4" w:space="0" w:color="A9D7B6" w:themeColor="accent5" w:themeTint="66"/>
        <w:insideH w:val="single" w:sz="4" w:space="0" w:color="A9D7B6" w:themeColor="accent5" w:themeTint="66"/>
        <w:insideV w:val="single" w:sz="4" w:space="0" w:color="A9D7B6" w:themeColor="accent5" w:themeTint="66"/>
      </w:tblBorders>
    </w:tblPr>
    <w:tblStylePr w:type="firstRow">
      <w:rPr>
        <w:b/>
        <w:bCs/>
      </w:rPr>
      <w:tblPr/>
      <w:tcPr>
        <w:tcBorders>
          <w:bottom w:val="single" w:sz="12" w:space="0" w:color="7EC492" w:themeColor="accent5" w:themeTint="99"/>
        </w:tcBorders>
      </w:tcPr>
    </w:tblStylePr>
    <w:tblStylePr w:type="lastRow">
      <w:rPr>
        <w:b/>
        <w:bCs/>
      </w:rPr>
      <w:tblPr/>
      <w:tcPr>
        <w:tcBorders>
          <w:top w:val="double" w:sz="2" w:space="0" w:color="7EC492" w:themeColor="accent5" w:themeTint="99"/>
        </w:tcBorders>
      </w:tcPr>
    </w:tblStylePr>
    <w:tblStylePr w:type="firstCol">
      <w:rPr>
        <w:b/>
        <w:bCs/>
      </w:rPr>
    </w:tblStylePr>
    <w:tblStylePr w:type="lastCol">
      <w:rPr>
        <w:b/>
        <w:bCs/>
      </w:rPr>
    </w:tblStylePr>
  </w:style>
  <w:style w:type="table" w:styleId="1-6">
    <w:name w:val="Grid Table 1 Light Accent 6"/>
    <w:basedOn w:val="a2"/>
    <w:uiPriority w:val="46"/>
    <w:rsid w:val="006C3D5A"/>
    <w:tblPr>
      <w:tblStyleRowBandSize w:val="1"/>
      <w:tblStyleColBandSize w:val="1"/>
      <w:tblBorders>
        <w:top w:val="single" w:sz="4" w:space="0" w:color="C0DAD8" w:themeColor="accent6" w:themeTint="66"/>
        <w:left w:val="single" w:sz="4" w:space="0" w:color="C0DAD8" w:themeColor="accent6" w:themeTint="66"/>
        <w:bottom w:val="single" w:sz="4" w:space="0" w:color="C0DAD8" w:themeColor="accent6" w:themeTint="66"/>
        <w:right w:val="single" w:sz="4" w:space="0" w:color="C0DAD8" w:themeColor="accent6" w:themeTint="66"/>
        <w:insideH w:val="single" w:sz="4" w:space="0" w:color="C0DAD8" w:themeColor="accent6" w:themeTint="66"/>
        <w:insideV w:val="single" w:sz="4" w:space="0" w:color="C0DAD8" w:themeColor="accent6" w:themeTint="66"/>
      </w:tblBorders>
    </w:tblPr>
    <w:tblStylePr w:type="firstRow">
      <w:rPr>
        <w:b/>
        <w:bCs/>
      </w:rPr>
      <w:tblPr/>
      <w:tcPr>
        <w:tcBorders>
          <w:bottom w:val="single" w:sz="12" w:space="0" w:color="A0C7C5" w:themeColor="accent6" w:themeTint="99"/>
        </w:tcBorders>
      </w:tcPr>
    </w:tblStylePr>
    <w:tblStylePr w:type="lastRow">
      <w:rPr>
        <w:b/>
        <w:bCs/>
      </w:rPr>
      <w:tblPr/>
      <w:tcPr>
        <w:tcBorders>
          <w:top w:val="double" w:sz="2" w:space="0" w:color="A0C7C5" w:themeColor="accent6" w:themeTint="99"/>
        </w:tcBorders>
      </w:tcPr>
    </w:tblStylePr>
    <w:tblStylePr w:type="firstCol">
      <w:rPr>
        <w:b/>
        <w:bCs/>
      </w:rPr>
    </w:tblStylePr>
    <w:tblStylePr w:type="lastCol">
      <w:rPr>
        <w:b/>
        <w:bCs/>
      </w:rPr>
    </w:tblStylePr>
  </w:style>
  <w:style w:type="table" w:customStyle="1" w:styleId="TableGridLight1">
    <w:name w:val="Table Grid Light1"/>
    <w:basedOn w:val="a2"/>
    <w:uiPriority w:val="40"/>
    <w:rsid w:val="008F60CC"/>
    <w:rPr>
      <w:kern w:val="2"/>
      <w:sz w:val="22"/>
      <w:szCs w:val="22"/>
      <w:lang w:val="de-DE"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8663">
      <w:bodyDiv w:val="1"/>
      <w:marLeft w:val="0"/>
      <w:marRight w:val="0"/>
      <w:marTop w:val="0"/>
      <w:marBottom w:val="0"/>
      <w:divBdr>
        <w:top w:val="none" w:sz="0" w:space="0" w:color="auto"/>
        <w:left w:val="none" w:sz="0" w:space="0" w:color="auto"/>
        <w:bottom w:val="none" w:sz="0" w:space="0" w:color="auto"/>
        <w:right w:val="none" w:sz="0" w:space="0" w:color="auto"/>
      </w:divBdr>
    </w:div>
    <w:div w:id="89208590">
      <w:bodyDiv w:val="1"/>
      <w:marLeft w:val="0"/>
      <w:marRight w:val="0"/>
      <w:marTop w:val="0"/>
      <w:marBottom w:val="0"/>
      <w:divBdr>
        <w:top w:val="none" w:sz="0" w:space="0" w:color="auto"/>
        <w:left w:val="none" w:sz="0" w:space="0" w:color="auto"/>
        <w:bottom w:val="none" w:sz="0" w:space="0" w:color="auto"/>
        <w:right w:val="none" w:sz="0" w:space="0" w:color="auto"/>
      </w:divBdr>
    </w:div>
    <w:div w:id="161354455">
      <w:bodyDiv w:val="1"/>
      <w:marLeft w:val="0"/>
      <w:marRight w:val="0"/>
      <w:marTop w:val="0"/>
      <w:marBottom w:val="0"/>
      <w:divBdr>
        <w:top w:val="none" w:sz="0" w:space="0" w:color="auto"/>
        <w:left w:val="none" w:sz="0" w:space="0" w:color="auto"/>
        <w:bottom w:val="none" w:sz="0" w:space="0" w:color="auto"/>
        <w:right w:val="none" w:sz="0" w:space="0" w:color="auto"/>
      </w:divBdr>
    </w:div>
    <w:div w:id="344328840">
      <w:bodyDiv w:val="1"/>
      <w:marLeft w:val="0"/>
      <w:marRight w:val="0"/>
      <w:marTop w:val="0"/>
      <w:marBottom w:val="0"/>
      <w:divBdr>
        <w:top w:val="none" w:sz="0" w:space="0" w:color="auto"/>
        <w:left w:val="none" w:sz="0" w:space="0" w:color="auto"/>
        <w:bottom w:val="none" w:sz="0" w:space="0" w:color="auto"/>
        <w:right w:val="none" w:sz="0" w:space="0" w:color="auto"/>
      </w:divBdr>
    </w:div>
    <w:div w:id="378632720">
      <w:bodyDiv w:val="1"/>
      <w:marLeft w:val="0"/>
      <w:marRight w:val="0"/>
      <w:marTop w:val="0"/>
      <w:marBottom w:val="0"/>
      <w:divBdr>
        <w:top w:val="none" w:sz="0" w:space="0" w:color="auto"/>
        <w:left w:val="none" w:sz="0" w:space="0" w:color="auto"/>
        <w:bottom w:val="none" w:sz="0" w:space="0" w:color="auto"/>
        <w:right w:val="none" w:sz="0" w:space="0" w:color="auto"/>
      </w:divBdr>
    </w:div>
    <w:div w:id="447550915">
      <w:bodyDiv w:val="1"/>
      <w:marLeft w:val="0"/>
      <w:marRight w:val="0"/>
      <w:marTop w:val="0"/>
      <w:marBottom w:val="0"/>
      <w:divBdr>
        <w:top w:val="none" w:sz="0" w:space="0" w:color="auto"/>
        <w:left w:val="none" w:sz="0" w:space="0" w:color="auto"/>
        <w:bottom w:val="none" w:sz="0" w:space="0" w:color="auto"/>
        <w:right w:val="none" w:sz="0" w:space="0" w:color="auto"/>
      </w:divBdr>
    </w:div>
    <w:div w:id="784617957">
      <w:bodyDiv w:val="1"/>
      <w:marLeft w:val="0"/>
      <w:marRight w:val="0"/>
      <w:marTop w:val="0"/>
      <w:marBottom w:val="0"/>
      <w:divBdr>
        <w:top w:val="none" w:sz="0" w:space="0" w:color="auto"/>
        <w:left w:val="none" w:sz="0" w:space="0" w:color="auto"/>
        <w:bottom w:val="none" w:sz="0" w:space="0" w:color="auto"/>
        <w:right w:val="none" w:sz="0" w:space="0" w:color="auto"/>
      </w:divBdr>
    </w:div>
    <w:div w:id="953514491">
      <w:bodyDiv w:val="1"/>
      <w:marLeft w:val="0"/>
      <w:marRight w:val="0"/>
      <w:marTop w:val="0"/>
      <w:marBottom w:val="0"/>
      <w:divBdr>
        <w:top w:val="none" w:sz="0" w:space="0" w:color="auto"/>
        <w:left w:val="none" w:sz="0" w:space="0" w:color="auto"/>
        <w:bottom w:val="none" w:sz="0" w:space="0" w:color="auto"/>
        <w:right w:val="none" w:sz="0" w:space="0" w:color="auto"/>
      </w:divBdr>
      <w:divsChild>
        <w:div w:id="65225154">
          <w:marLeft w:val="0"/>
          <w:marRight w:val="0"/>
          <w:marTop w:val="0"/>
          <w:marBottom w:val="0"/>
          <w:divBdr>
            <w:top w:val="none" w:sz="0" w:space="0" w:color="auto"/>
            <w:left w:val="none" w:sz="0" w:space="0" w:color="auto"/>
            <w:bottom w:val="none" w:sz="0" w:space="0" w:color="auto"/>
            <w:right w:val="none" w:sz="0" w:space="0" w:color="auto"/>
          </w:divBdr>
        </w:div>
        <w:div w:id="116527034">
          <w:marLeft w:val="0"/>
          <w:marRight w:val="0"/>
          <w:marTop w:val="0"/>
          <w:marBottom w:val="0"/>
          <w:divBdr>
            <w:top w:val="none" w:sz="0" w:space="0" w:color="auto"/>
            <w:left w:val="none" w:sz="0" w:space="0" w:color="auto"/>
            <w:bottom w:val="none" w:sz="0" w:space="0" w:color="auto"/>
            <w:right w:val="none" w:sz="0" w:space="0" w:color="auto"/>
          </w:divBdr>
        </w:div>
        <w:div w:id="428694692">
          <w:marLeft w:val="0"/>
          <w:marRight w:val="0"/>
          <w:marTop w:val="0"/>
          <w:marBottom w:val="0"/>
          <w:divBdr>
            <w:top w:val="none" w:sz="0" w:space="0" w:color="auto"/>
            <w:left w:val="none" w:sz="0" w:space="0" w:color="auto"/>
            <w:bottom w:val="none" w:sz="0" w:space="0" w:color="auto"/>
            <w:right w:val="none" w:sz="0" w:space="0" w:color="auto"/>
          </w:divBdr>
        </w:div>
        <w:div w:id="543710605">
          <w:marLeft w:val="0"/>
          <w:marRight w:val="0"/>
          <w:marTop w:val="0"/>
          <w:marBottom w:val="0"/>
          <w:divBdr>
            <w:top w:val="none" w:sz="0" w:space="0" w:color="auto"/>
            <w:left w:val="none" w:sz="0" w:space="0" w:color="auto"/>
            <w:bottom w:val="none" w:sz="0" w:space="0" w:color="auto"/>
            <w:right w:val="none" w:sz="0" w:space="0" w:color="auto"/>
          </w:divBdr>
        </w:div>
        <w:div w:id="1286111229">
          <w:marLeft w:val="0"/>
          <w:marRight w:val="0"/>
          <w:marTop w:val="0"/>
          <w:marBottom w:val="0"/>
          <w:divBdr>
            <w:top w:val="none" w:sz="0" w:space="0" w:color="auto"/>
            <w:left w:val="none" w:sz="0" w:space="0" w:color="auto"/>
            <w:bottom w:val="none" w:sz="0" w:space="0" w:color="auto"/>
            <w:right w:val="none" w:sz="0" w:space="0" w:color="auto"/>
          </w:divBdr>
        </w:div>
        <w:div w:id="1364592477">
          <w:marLeft w:val="0"/>
          <w:marRight w:val="0"/>
          <w:marTop w:val="0"/>
          <w:marBottom w:val="0"/>
          <w:divBdr>
            <w:top w:val="none" w:sz="0" w:space="0" w:color="auto"/>
            <w:left w:val="none" w:sz="0" w:space="0" w:color="auto"/>
            <w:bottom w:val="none" w:sz="0" w:space="0" w:color="auto"/>
            <w:right w:val="none" w:sz="0" w:space="0" w:color="auto"/>
          </w:divBdr>
        </w:div>
        <w:div w:id="1983920713">
          <w:marLeft w:val="0"/>
          <w:marRight w:val="0"/>
          <w:marTop w:val="0"/>
          <w:marBottom w:val="0"/>
          <w:divBdr>
            <w:top w:val="none" w:sz="0" w:space="0" w:color="auto"/>
            <w:left w:val="none" w:sz="0" w:space="0" w:color="auto"/>
            <w:bottom w:val="none" w:sz="0" w:space="0" w:color="auto"/>
            <w:right w:val="none" w:sz="0" w:space="0" w:color="auto"/>
          </w:divBdr>
        </w:div>
      </w:divsChild>
    </w:div>
    <w:div w:id="1000621318">
      <w:bodyDiv w:val="1"/>
      <w:marLeft w:val="0"/>
      <w:marRight w:val="0"/>
      <w:marTop w:val="0"/>
      <w:marBottom w:val="0"/>
      <w:divBdr>
        <w:top w:val="none" w:sz="0" w:space="0" w:color="auto"/>
        <w:left w:val="none" w:sz="0" w:space="0" w:color="auto"/>
        <w:bottom w:val="none" w:sz="0" w:space="0" w:color="auto"/>
        <w:right w:val="none" w:sz="0" w:space="0" w:color="auto"/>
      </w:divBdr>
    </w:div>
    <w:div w:id="1062362472">
      <w:bodyDiv w:val="1"/>
      <w:marLeft w:val="0"/>
      <w:marRight w:val="0"/>
      <w:marTop w:val="0"/>
      <w:marBottom w:val="0"/>
      <w:divBdr>
        <w:top w:val="none" w:sz="0" w:space="0" w:color="auto"/>
        <w:left w:val="none" w:sz="0" w:space="0" w:color="auto"/>
        <w:bottom w:val="none" w:sz="0" w:space="0" w:color="auto"/>
        <w:right w:val="none" w:sz="0" w:space="0" w:color="auto"/>
      </w:divBdr>
    </w:div>
    <w:div w:id="1188103584">
      <w:bodyDiv w:val="1"/>
      <w:marLeft w:val="0"/>
      <w:marRight w:val="0"/>
      <w:marTop w:val="0"/>
      <w:marBottom w:val="0"/>
      <w:divBdr>
        <w:top w:val="none" w:sz="0" w:space="0" w:color="auto"/>
        <w:left w:val="none" w:sz="0" w:space="0" w:color="auto"/>
        <w:bottom w:val="none" w:sz="0" w:space="0" w:color="auto"/>
        <w:right w:val="none" w:sz="0" w:space="0" w:color="auto"/>
      </w:divBdr>
      <w:divsChild>
        <w:div w:id="580986064">
          <w:marLeft w:val="0"/>
          <w:marRight w:val="0"/>
          <w:marTop w:val="0"/>
          <w:marBottom w:val="0"/>
          <w:divBdr>
            <w:top w:val="none" w:sz="0" w:space="0" w:color="auto"/>
            <w:left w:val="none" w:sz="0" w:space="0" w:color="auto"/>
            <w:bottom w:val="none" w:sz="0" w:space="0" w:color="auto"/>
            <w:right w:val="none" w:sz="0" w:space="0" w:color="auto"/>
          </w:divBdr>
          <w:divsChild>
            <w:div w:id="612907226">
              <w:marLeft w:val="0"/>
              <w:marRight w:val="0"/>
              <w:marTop w:val="0"/>
              <w:marBottom w:val="0"/>
              <w:divBdr>
                <w:top w:val="none" w:sz="0" w:space="0" w:color="auto"/>
                <w:left w:val="none" w:sz="0" w:space="0" w:color="auto"/>
                <w:bottom w:val="none" w:sz="0" w:space="0" w:color="auto"/>
                <w:right w:val="none" w:sz="0" w:space="0" w:color="auto"/>
              </w:divBdr>
              <w:divsChild>
                <w:div w:id="3419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858470">
          <w:marLeft w:val="0"/>
          <w:marRight w:val="0"/>
          <w:marTop w:val="0"/>
          <w:marBottom w:val="0"/>
          <w:divBdr>
            <w:top w:val="none" w:sz="0" w:space="0" w:color="auto"/>
            <w:left w:val="none" w:sz="0" w:space="0" w:color="auto"/>
            <w:bottom w:val="none" w:sz="0" w:space="0" w:color="auto"/>
            <w:right w:val="none" w:sz="0" w:space="0" w:color="auto"/>
          </w:divBdr>
          <w:divsChild>
            <w:div w:id="13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5211">
      <w:bodyDiv w:val="1"/>
      <w:marLeft w:val="0"/>
      <w:marRight w:val="0"/>
      <w:marTop w:val="0"/>
      <w:marBottom w:val="0"/>
      <w:divBdr>
        <w:top w:val="none" w:sz="0" w:space="0" w:color="auto"/>
        <w:left w:val="none" w:sz="0" w:space="0" w:color="auto"/>
        <w:bottom w:val="none" w:sz="0" w:space="0" w:color="auto"/>
        <w:right w:val="none" w:sz="0" w:space="0" w:color="auto"/>
      </w:divBdr>
    </w:div>
    <w:div w:id="1367750717">
      <w:bodyDiv w:val="1"/>
      <w:marLeft w:val="0"/>
      <w:marRight w:val="0"/>
      <w:marTop w:val="0"/>
      <w:marBottom w:val="0"/>
      <w:divBdr>
        <w:top w:val="none" w:sz="0" w:space="0" w:color="auto"/>
        <w:left w:val="none" w:sz="0" w:space="0" w:color="auto"/>
        <w:bottom w:val="none" w:sz="0" w:space="0" w:color="auto"/>
        <w:right w:val="none" w:sz="0" w:space="0" w:color="auto"/>
      </w:divBdr>
    </w:div>
    <w:div w:id="1393576681">
      <w:bodyDiv w:val="1"/>
      <w:marLeft w:val="0"/>
      <w:marRight w:val="0"/>
      <w:marTop w:val="0"/>
      <w:marBottom w:val="0"/>
      <w:divBdr>
        <w:top w:val="none" w:sz="0" w:space="0" w:color="auto"/>
        <w:left w:val="none" w:sz="0" w:space="0" w:color="auto"/>
        <w:bottom w:val="none" w:sz="0" w:space="0" w:color="auto"/>
        <w:right w:val="none" w:sz="0" w:space="0" w:color="auto"/>
      </w:divBdr>
    </w:div>
    <w:div w:id="1399092202">
      <w:bodyDiv w:val="1"/>
      <w:marLeft w:val="0"/>
      <w:marRight w:val="0"/>
      <w:marTop w:val="0"/>
      <w:marBottom w:val="0"/>
      <w:divBdr>
        <w:top w:val="none" w:sz="0" w:space="0" w:color="auto"/>
        <w:left w:val="none" w:sz="0" w:space="0" w:color="auto"/>
        <w:bottom w:val="none" w:sz="0" w:space="0" w:color="auto"/>
        <w:right w:val="none" w:sz="0" w:space="0" w:color="auto"/>
      </w:divBdr>
    </w:div>
    <w:div w:id="1475560784">
      <w:bodyDiv w:val="1"/>
      <w:marLeft w:val="0"/>
      <w:marRight w:val="0"/>
      <w:marTop w:val="0"/>
      <w:marBottom w:val="0"/>
      <w:divBdr>
        <w:top w:val="none" w:sz="0" w:space="0" w:color="auto"/>
        <w:left w:val="none" w:sz="0" w:space="0" w:color="auto"/>
        <w:bottom w:val="none" w:sz="0" w:space="0" w:color="auto"/>
        <w:right w:val="none" w:sz="0" w:space="0" w:color="auto"/>
      </w:divBdr>
    </w:div>
    <w:div w:id="1507787325">
      <w:bodyDiv w:val="1"/>
      <w:marLeft w:val="0"/>
      <w:marRight w:val="0"/>
      <w:marTop w:val="0"/>
      <w:marBottom w:val="0"/>
      <w:divBdr>
        <w:top w:val="none" w:sz="0" w:space="0" w:color="auto"/>
        <w:left w:val="none" w:sz="0" w:space="0" w:color="auto"/>
        <w:bottom w:val="none" w:sz="0" w:space="0" w:color="auto"/>
        <w:right w:val="none" w:sz="0" w:space="0" w:color="auto"/>
      </w:divBdr>
    </w:div>
    <w:div w:id="1630624970">
      <w:bodyDiv w:val="1"/>
      <w:marLeft w:val="0"/>
      <w:marRight w:val="0"/>
      <w:marTop w:val="0"/>
      <w:marBottom w:val="0"/>
      <w:divBdr>
        <w:top w:val="none" w:sz="0" w:space="0" w:color="auto"/>
        <w:left w:val="none" w:sz="0" w:space="0" w:color="auto"/>
        <w:bottom w:val="none" w:sz="0" w:space="0" w:color="auto"/>
        <w:right w:val="none" w:sz="0" w:space="0" w:color="auto"/>
      </w:divBdr>
    </w:div>
    <w:div w:id="1674644841">
      <w:bodyDiv w:val="1"/>
      <w:marLeft w:val="0"/>
      <w:marRight w:val="0"/>
      <w:marTop w:val="0"/>
      <w:marBottom w:val="0"/>
      <w:divBdr>
        <w:top w:val="none" w:sz="0" w:space="0" w:color="auto"/>
        <w:left w:val="none" w:sz="0" w:space="0" w:color="auto"/>
        <w:bottom w:val="none" w:sz="0" w:space="0" w:color="auto"/>
        <w:right w:val="none" w:sz="0" w:space="0" w:color="auto"/>
      </w:divBdr>
    </w:div>
    <w:div w:id="1683120427">
      <w:bodyDiv w:val="1"/>
      <w:marLeft w:val="0"/>
      <w:marRight w:val="0"/>
      <w:marTop w:val="0"/>
      <w:marBottom w:val="0"/>
      <w:divBdr>
        <w:top w:val="none" w:sz="0" w:space="0" w:color="auto"/>
        <w:left w:val="none" w:sz="0" w:space="0" w:color="auto"/>
        <w:bottom w:val="none" w:sz="0" w:space="0" w:color="auto"/>
        <w:right w:val="none" w:sz="0" w:space="0" w:color="auto"/>
      </w:divBdr>
    </w:div>
    <w:div w:id="1768844569">
      <w:bodyDiv w:val="1"/>
      <w:marLeft w:val="0"/>
      <w:marRight w:val="0"/>
      <w:marTop w:val="0"/>
      <w:marBottom w:val="0"/>
      <w:divBdr>
        <w:top w:val="none" w:sz="0" w:space="0" w:color="auto"/>
        <w:left w:val="none" w:sz="0" w:space="0" w:color="auto"/>
        <w:bottom w:val="none" w:sz="0" w:space="0" w:color="auto"/>
        <w:right w:val="none" w:sz="0" w:space="0" w:color="auto"/>
      </w:divBdr>
    </w:div>
    <w:div w:id="1798798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chart" Target="charts/chart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3.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yperlink" Target="http://www.paratiritirioanapirias.gr/" TargetMode="Externa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ouro\Dropbox\Desktop\graphs_housing%20povert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Desktop\&#916;&#917;&#923;&#932;&#921;&#927;%20&#931;&#932;&#917;&#915;&#913;&#931;&#919;\hlth_dhc060$defaultview_spreadsheet.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mouro\Dropbox\Desktop\graphs_housing%20poverty.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ouro\Dropbox\Desktop\graphs_housing%20poverty.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916;&#917;&#923;&#932;&#921;&#927;%20&#931;&#932;&#917;&#915;&#913;&#931;&#919;\hlth_dm050__custom_21983183_ARREAR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enovo\Desktop\&#916;&#917;&#923;&#932;&#921;&#927;%20&#931;&#932;&#917;&#915;&#913;&#931;&#919;\hlth_dhc140__custom_21983122_KEEP%20WARM.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lenovo\Desktop\&#916;&#917;&#923;&#932;&#921;&#927;%20&#931;&#932;&#917;&#915;&#913;&#931;&#919;\&#960;&#961;&#959;&#963;&#952;&#949;&#964;&#949;&#962;%20&#956;&#949;&#964;&#945;&#946;&#955;&#951;&#964;&#949;&#963;%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'γραφημα 1'!$A$12</c:f>
              <c:strCache>
                <c:ptCount val="1"/>
                <c:pt idx="0">
                  <c:v>χωρίς αναπηρία</c:v>
                </c:pt>
              </c:strCache>
            </c:strRef>
          </c:tx>
          <c:spPr>
            <a:ln w="28575" cap="rnd">
              <a:solidFill>
                <a:schemeClr val="accent1"/>
              </a:solidFill>
              <a:round/>
            </a:ln>
            <a:effectLst/>
          </c:spPr>
          <c:marker>
            <c:symbol val="none"/>
          </c:marker>
          <c:dLbls>
            <c:dLbl>
              <c:idx val="0"/>
              <c:layout>
                <c:manualLayout>
                  <c:x val="-3.2925682031984947E-2"/>
                  <c:y val="5.45416404447241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109-4F71-980B-C73789DCF8E0}"/>
                </c:ext>
              </c:extLst>
            </c:dLbl>
            <c:dLbl>
              <c:idx val="1"/>
              <c:layout>
                <c:manualLayout>
                  <c:x val="-3.2925682031984947E-2"/>
                  <c:y val="-4.1955108034403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109-4F71-980B-C73789DCF8E0}"/>
                </c:ext>
              </c:extLst>
            </c:dLbl>
            <c:dLbl>
              <c:idx val="2"/>
              <c:layout>
                <c:manualLayout>
                  <c:x val="-4.2333019755409221E-2"/>
                  <c:y val="-4.61506188378435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109-4F71-980B-C73789DCF8E0}"/>
                </c:ext>
              </c:extLst>
            </c:dLbl>
            <c:dLbl>
              <c:idx val="3"/>
              <c:layout>
                <c:manualLayout>
                  <c:x val="-5.4092191909689558E-2"/>
                  <c:y val="-7.55191944619257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109-4F71-980B-C73789DCF8E0}"/>
                </c:ext>
              </c:extLst>
            </c:dLbl>
            <c:dLbl>
              <c:idx val="4"/>
              <c:layout>
                <c:manualLayout>
                  <c:x val="-5.1740357478833487E-2"/>
                  <c:y val="-7.13236836584854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109-4F71-980B-C73789DCF8E0}"/>
                </c:ext>
              </c:extLst>
            </c:dLbl>
            <c:dLbl>
              <c:idx val="5"/>
              <c:layout>
                <c:manualLayout>
                  <c:x val="-4.7036688617121354E-2"/>
                  <c:y val="-7.55191944619257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109-4F71-980B-C73789DCF8E0}"/>
                </c:ext>
              </c:extLst>
            </c:dLbl>
            <c:dLbl>
              <c:idx val="6"/>
              <c:layout>
                <c:manualLayout>
                  <c:x val="-3.5277516462841017E-2"/>
                  <c:y val="7.1323683658485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109-4F71-980B-C73789DCF8E0}"/>
                </c:ext>
              </c:extLst>
            </c:dLbl>
            <c:dLbl>
              <c:idx val="7"/>
              <c:layout>
                <c:manualLayout>
                  <c:x val="-3.9981185324553151E-2"/>
                  <c:y val="5.87371512481643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109-4F71-980B-C73789DCF8E0}"/>
                </c:ext>
              </c:extLst>
            </c:dLbl>
            <c:dLbl>
              <c:idx val="8"/>
              <c:layout>
                <c:manualLayout>
                  <c:x val="-3.9981185324553151E-2"/>
                  <c:y val="5.87371512481644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C109-4F71-980B-C73789DCF8E0}"/>
                </c:ext>
              </c:extLst>
            </c:dLbl>
            <c:dLbl>
              <c:idx val="9"/>
              <c:layout>
                <c:manualLayout>
                  <c:x val="-4.4684854186265457E-2"/>
                  <c:y val="5.03461296412837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C109-4F71-980B-C73789DCF8E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Arial Narrow" panose="020B0606020202030204" pitchFamily="34" charset="0"/>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'γραφημα 1'!$B$11:$K$11</c:f>
              <c:strCache>
                <c:ptCount val="10"/>
                <c:pt idx="0">
                  <c:v>2016</c:v>
                </c:pt>
                <c:pt idx="1">
                  <c:v>2017</c:v>
                </c:pt>
                <c:pt idx="2">
                  <c:v>2018</c:v>
                </c:pt>
                <c:pt idx="3">
                  <c:v>2019</c:v>
                </c:pt>
                <c:pt idx="4">
                  <c:v>2020</c:v>
                </c:pt>
                <c:pt idx="5">
                  <c:v>2021</c:v>
                </c:pt>
                <c:pt idx="6">
                  <c:v>2022</c:v>
                </c:pt>
                <c:pt idx="7">
                  <c:v>2023</c:v>
                </c:pt>
                <c:pt idx="8">
                  <c:v>2024</c:v>
                </c:pt>
                <c:pt idx="9">
                  <c:v>2025</c:v>
                </c:pt>
              </c:strCache>
            </c:strRef>
          </c:cat>
          <c:val>
            <c:numRef>
              <c:f>'γραφημα 1'!$B$12:$K$12</c:f>
              <c:numCache>
                <c:formatCode>#,##0.##########</c:formatCode>
                <c:ptCount val="10"/>
                <c:pt idx="0" formatCode="#,##0.0">
                  <c:v>40</c:v>
                </c:pt>
                <c:pt idx="1">
                  <c:v>38.700000000000003</c:v>
                </c:pt>
                <c:pt idx="2">
                  <c:v>38.6</c:v>
                </c:pt>
                <c:pt idx="3">
                  <c:v>34.6</c:v>
                </c:pt>
                <c:pt idx="4">
                  <c:v>31.9</c:v>
                </c:pt>
                <c:pt idx="5" formatCode="#,##0.0">
                  <c:v>28</c:v>
                </c:pt>
                <c:pt idx="6">
                  <c:v>25.2</c:v>
                </c:pt>
                <c:pt idx="7">
                  <c:v>27.2</c:v>
                </c:pt>
                <c:pt idx="8">
                  <c:v>27.6</c:v>
                </c:pt>
                <c:pt idx="9">
                  <c:v>24.9</c:v>
                </c:pt>
              </c:numCache>
            </c:numRef>
          </c:val>
          <c:smooth val="0"/>
          <c:extLst>
            <c:ext xmlns:c16="http://schemas.microsoft.com/office/drawing/2014/chart" uri="{C3380CC4-5D6E-409C-BE32-E72D297353CC}">
              <c16:uniqueId val="{00000000-C109-4F71-980B-C73789DCF8E0}"/>
            </c:ext>
          </c:extLst>
        </c:ser>
        <c:ser>
          <c:idx val="1"/>
          <c:order val="1"/>
          <c:tx>
            <c:strRef>
              <c:f>'γραφημα 1'!$A$13</c:f>
              <c:strCache>
                <c:ptCount val="1"/>
                <c:pt idx="0">
                  <c:v>με αναπηρία</c:v>
                </c:pt>
              </c:strCache>
            </c:strRef>
          </c:tx>
          <c:spPr>
            <a:ln w="28575" cap="rnd">
              <a:solidFill>
                <a:srgbClr val="00B050"/>
              </a:solidFill>
              <a:round/>
            </a:ln>
            <a:effectLst/>
          </c:spPr>
          <c:marker>
            <c:symbol val="none"/>
          </c:marker>
          <c:dLbls>
            <c:dLbl>
              <c:idx val="0"/>
              <c:layout>
                <c:manualLayout>
                  <c:x val="-3.0573847601128891E-2"/>
                  <c:y val="5.45416404447241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09-4F71-980B-C73789DCF8E0}"/>
                </c:ext>
              </c:extLst>
            </c:dLbl>
            <c:dLbl>
              <c:idx val="1"/>
              <c:layout>
                <c:manualLayout>
                  <c:x val="-3.2925682031984968E-2"/>
                  <c:y val="3.77595972309628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109-4F71-980B-C73789DCF8E0}"/>
                </c:ext>
              </c:extLst>
            </c:dLbl>
            <c:dLbl>
              <c:idx val="2"/>
              <c:layout>
                <c:manualLayout>
                  <c:x val="-4.2333019755409221E-2"/>
                  <c:y val="3.77595972309628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109-4F71-980B-C73789DCF8E0}"/>
                </c:ext>
              </c:extLst>
            </c:dLbl>
            <c:dLbl>
              <c:idx val="3"/>
              <c:layout>
                <c:manualLayout>
                  <c:x val="-5.6444026340545628E-2"/>
                  <c:y val="5.87371512481644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109-4F71-980B-C73789DCF8E0}"/>
                </c:ext>
              </c:extLst>
            </c:dLbl>
            <c:dLbl>
              <c:idx val="4"/>
              <c:layout>
                <c:manualLayout>
                  <c:x val="-5.6444026340545628E-2"/>
                  <c:y val="5.03461296412838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109-4F71-980B-C73789DCF8E0}"/>
                </c:ext>
              </c:extLst>
            </c:dLbl>
            <c:dLbl>
              <c:idx val="5"/>
              <c:layout>
                <c:manualLayout>
                  <c:x val="-4.2333019755409221E-2"/>
                  <c:y val="5.03461296412837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109-4F71-980B-C73789DCF8E0}"/>
                </c:ext>
              </c:extLst>
            </c:dLbl>
            <c:dLbl>
              <c:idx val="6"/>
              <c:layout>
                <c:manualLayout>
                  <c:x val="-4.9388523047977508E-2"/>
                  <c:y val="-7.1323683658485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109-4F71-980B-C73789DCF8E0}"/>
                </c:ext>
              </c:extLst>
            </c:dLbl>
            <c:dLbl>
              <c:idx val="7"/>
              <c:layout>
                <c:manualLayout>
                  <c:x val="-4.7036688617121444E-2"/>
                  <c:y val="-5.03461296412838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C109-4F71-980B-C73789DCF8E0}"/>
                </c:ext>
              </c:extLst>
            </c:dLbl>
            <c:dLbl>
              <c:idx val="8"/>
              <c:layout>
                <c:manualLayout>
                  <c:x val="-4.7036688617121528E-2"/>
                  <c:y val="-5.03461296412838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C109-4F71-980B-C73789DCF8E0}"/>
                </c:ext>
              </c:extLst>
            </c:dLbl>
            <c:dLbl>
              <c:idx val="9"/>
              <c:layout>
                <c:manualLayout>
                  <c:x val="-4.9388523047977598E-2"/>
                  <c:y val="-5.45416404447241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C109-4F71-980B-C73789DCF8E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Arial Narrow" panose="020B0606020202030204" pitchFamily="34" charset="0"/>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'γραφημα 1'!$B$11:$K$11</c:f>
              <c:strCache>
                <c:ptCount val="10"/>
                <c:pt idx="0">
                  <c:v>2016</c:v>
                </c:pt>
                <c:pt idx="1">
                  <c:v>2017</c:v>
                </c:pt>
                <c:pt idx="2">
                  <c:v>2018</c:v>
                </c:pt>
                <c:pt idx="3">
                  <c:v>2019</c:v>
                </c:pt>
                <c:pt idx="4">
                  <c:v>2020</c:v>
                </c:pt>
                <c:pt idx="5">
                  <c:v>2021</c:v>
                </c:pt>
                <c:pt idx="6">
                  <c:v>2022</c:v>
                </c:pt>
                <c:pt idx="7">
                  <c:v>2023</c:v>
                </c:pt>
                <c:pt idx="8">
                  <c:v>2024</c:v>
                </c:pt>
                <c:pt idx="9">
                  <c:v>2025</c:v>
                </c:pt>
              </c:strCache>
            </c:strRef>
          </c:cat>
          <c:val>
            <c:numRef>
              <c:f>'γραφημα 1'!$B$13:$K$13</c:f>
              <c:numCache>
                <c:formatCode>#,##0.##########</c:formatCode>
                <c:ptCount val="10"/>
                <c:pt idx="0">
                  <c:v>34.1</c:v>
                </c:pt>
                <c:pt idx="1">
                  <c:v>34.9</c:v>
                </c:pt>
                <c:pt idx="2">
                  <c:v>34.5</c:v>
                </c:pt>
                <c:pt idx="3">
                  <c:v>33.700000000000003</c:v>
                </c:pt>
                <c:pt idx="4">
                  <c:v>29.4</c:v>
                </c:pt>
                <c:pt idx="5">
                  <c:v>24.9</c:v>
                </c:pt>
                <c:pt idx="6">
                  <c:v>28.4</c:v>
                </c:pt>
                <c:pt idx="7">
                  <c:v>31.5</c:v>
                </c:pt>
                <c:pt idx="8" formatCode="#,##0.0">
                  <c:v>33</c:v>
                </c:pt>
                <c:pt idx="9">
                  <c:v>34.299999999999997</c:v>
                </c:pt>
              </c:numCache>
            </c:numRef>
          </c:val>
          <c:smooth val="0"/>
          <c:extLst>
            <c:ext xmlns:c16="http://schemas.microsoft.com/office/drawing/2014/chart" uri="{C3380CC4-5D6E-409C-BE32-E72D297353CC}">
              <c16:uniqueId val="{00000001-C109-4F71-980B-C73789DCF8E0}"/>
            </c:ext>
          </c:extLst>
        </c:ser>
        <c:dLbls>
          <c:showLegendKey val="0"/>
          <c:showVal val="0"/>
          <c:showCatName val="0"/>
          <c:showSerName val="0"/>
          <c:showPercent val="0"/>
          <c:showBubbleSize val="0"/>
        </c:dLbls>
        <c:smooth val="0"/>
        <c:axId val="1494218239"/>
        <c:axId val="1345581663"/>
      </c:lineChart>
      <c:catAx>
        <c:axId val="1494218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de-DE"/>
          </a:p>
        </c:txPr>
        <c:crossAx val="1345581663"/>
        <c:crosses val="autoZero"/>
        <c:auto val="1"/>
        <c:lblAlgn val="ctr"/>
        <c:lblOffset val="100"/>
        <c:noMultiLvlLbl val="0"/>
      </c:catAx>
      <c:valAx>
        <c:axId val="1345581663"/>
        <c:scaling>
          <c:orientation val="minMax"/>
          <c:max val="40"/>
          <c:min val="10"/>
        </c:scaling>
        <c:delete val="1"/>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crossAx val="1494218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653506209250348"/>
          <c:y val="1.363883568607978E-2"/>
          <c:w val="0.53755209927380987"/>
          <c:h val="0.9679241741741742"/>
        </c:manualLayout>
      </c:layout>
      <c:barChart>
        <c:barDir val="bar"/>
        <c:grouping val="clustered"/>
        <c:varyColors val="0"/>
        <c:ser>
          <c:idx val="0"/>
          <c:order val="0"/>
          <c:tx>
            <c:strRef>
              <c:f>'Sheet 1 (2)'!$B$12</c:f>
              <c:strCache>
                <c:ptCount val="1"/>
              </c:strCache>
            </c:strRef>
          </c:tx>
          <c:spPr>
            <a:solidFill>
              <a:schemeClr val="bg1">
                <a:lumMod val="50000"/>
              </a:schemeClr>
            </a:solidFill>
            <a:ln>
              <a:noFill/>
            </a:ln>
            <a:effectLst/>
          </c:spPr>
          <c:invertIfNegative val="0"/>
          <c:dPt>
            <c:idx val="19"/>
            <c:invertIfNegative val="0"/>
            <c:bubble3D val="0"/>
            <c:spPr>
              <a:solidFill>
                <a:srgbClr val="FFC000"/>
              </a:solidFill>
              <a:ln>
                <a:noFill/>
              </a:ln>
              <a:effectLst/>
            </c:spPr>
            <c:extLst>
              <c:ext xmlns:c16="http://schemas.microsoft.com/office/drawing/2014/chart" uri="{C3380CC4-5D6E-409C-BE32-E72D297353CC}">
                <c16:uniqueId val="{00000001-3F33-45D8-9CA0-67E0143F6158}"/>
              </c:ext>
            </c:extLst>
          </c:dPt>
          <c:dPt>
            <c:idx val="26"/>
            <c:invertIfNegative val="0"/>
            <c:bubble3D val="0"/>
            <c:spPr>
              <a:solidFill>
                <a:srgbClr val="0070C0"/>
              </a:solidFill>
              <a:ln>
                <a:noFill/>
              </a:ln>
              <a:effectLst/>
            </c:spPr>
            <c:extLst>
              <c:ext xmlns:c16="http://schemas.microsoft.com/office/drawing/2014/chart" uri="{C3380CC4-5D6E-409C-BE32-E72D297353CC}">
                <c16:uniqueId val="{00000000-3F33-45D8-9CA0-67E0143F6158}"/>
              </c:ext>
            </c:extLst>
          </c:dPt>
          <c:dLbls>
            <c:dLbl>
              <c:idx val="19"/>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Arial Narrow" panose="020B0606020202030204" pitchFamily="34" charset="0"/>
                      <a:ea typeface="+mn-ea"/>
                      <a:cs typeface="+mn-cs"/>
                    </a:defRPr>
                  </a:pPr>
                  <a:endParaRPr lang="el-GR"/>
                </a:p>
              </c:txPr>
              <c:showLegendKey val="0"/>
              <c:showVal val="1"/>
              <c:showCatName val="0"/>
              <c:showSerName val="0"/>
              <c:showPercent val="0"/>
              <c:showBubbleSize val="0"/>
              <c:extLst>
                <c:ext xmlns:c16="http://schemas.microsoft.com/office/drawing/2014/chart" uri="{C3380CC4-5D6E-409C-BE32-E72D297353CC}">
                  <c16:uniqueId val="{00000001-3F33-45D8-9CA0-67E0143F6158}"/>
                </c:ext>
              </c:extLst>
            </c:dLbl>
            <c:dLbl>
              <c:idx val="26"/>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Arial Narrow" panose="020B0606020202030204" pitchFamily="34" charset="0"/>
                      <a:ea typeface="+mn-ea"/>
                      <a:cs typeface="+mn-cs"/>
                    </a:defRPr>
                  </a:pPr>
                  <a:endParaRPr lang="el-GR"/>
                </a:p>
              </c:txPr>
              <c:showLegendKey val="0"/>
              <c:showVal val="1"/>
              <c:showCatName val="0"/>
              <c:showSerName val="0"/>
              <c:showPercent val="0"/>
              <c:showBubbleSize val="0"/>
              <c:extLst>
                <c:ext xmlns:c16="http://schemas.microsoft.com/office/drawing/2014/chart" uri="{C3380CC4-5D6E-409C-BE32-E72D297353CC}">
                  <c16:uniqueId val="{00000000-3F33-45D8-9CA0-67E0143F6158}"/>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Arial Narrow" panose="020B0606020202030204" pitchFamily="34" charset="0"/>
                    <a:ea typeface="+mn-ea"/>
                    <a:cs typeface="+mn-cs"/>
                  </a:defRPr>
                </a:pPr>
                <a:endParaRPr lang="el-G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 (2)'!$A$13:$A$39</c:f>
              <c:strCache>
                <c:ptCount val="27"/>
                <c:pt idx="0">
                  <c:v>Κύπρος</c:v>
                </c:pt>
                <c:pt idx="1">
                  <c:v>Σλοβακία</c:v>
                </c:pt>
                <c:pt idx="2">
                  <c:v>Ιρλανδία</c:v>
                </c:pt>
                <c:pt idx="3">
                  <c:v>Σλοβενία</c:v>
                </c:pt>
                <c:pt idx="4">
                  <c:v>Φινλανδία</c:v>
                </c:pt>
                <c:pt idx="5">
                  <c:v>Πορτογαλία</c:v>
                </c:pt>
                <c:pt idx="6">
                  <c:v>Ρουμανία</c:v>
                </c:pt>
                <c:pt idx="7">
                  <c:v>Κροατία</c:v>
                </c:pt>
                <c:pt idx="8">
                  <c:v>Πολωνία</c:v>
                </c:pt>
                <c:pt idx="9">
                  <c:v>Ιταλία</c:v>
                </c:pt>
                <c:pt idx="10">
                  <c:v>Ουγγαρία</c:v>
                </c:pt>
                <c:pt idx="11">
                  <c:v>Μάλτα</c:v>
                </c:pt>
                <c:pt idx="12">
                  <c:v>Ολλανδία</c:v>
                </c:pt>
                <c:pt idx="13">
                  <c:v>Ισπανία</c:v>
                </c:pt>
                <c:pt idx="14">
                  <c:v>Αυστρία</c:v>
                </c:pt>
                <c:pt idx="15">
                  <c:v>Βουλγαρία</c:v>
                </c:pt>
                <c:pt idx="16">
                  <c:v>Λετονία</c:v>
                </c:pt>
                <c:pt idx="17">
                  <c:v>Λιθουανία</c:v>
                </c:pt>
                <c:pt idx="18">
                  <c:v>Γαλλία</c:v>
                </c:pt>
                <c:pt idx="19">
                  <c:v>Ευρωπαϊκή Ένωση - 27 χώρες (από το 2020)</c:v>
                </c:pt>
                <c:pt idx="20">
                  <c:v>Εσθονία</c:v>
                </c:pt>
                <c:pt idx="21">
                  <c:v>Τσεχία</c:v>
                </c:pt>
                <c:pt idx="22">
                  <c:v>Βέλγιο</c:v>
                </c:pt>
                <c:pt idx="23">
                  <c:v>Γερμανία</c:v>
                </c:pt>
                <c:pt idx="24">
                  <c:v>Σουηδία</c:v>
                </c:pt>
                <c:pt idx="25">
                  <c:v>Δανία</c:v>
                </c:pt>
                <c:pt idx="26">
                  <c:v>Ελλάδα</c:v>
                </c:pt>
              </c:strCache>
            </c:strRef>
          </c:cat>
          <c:val>
            <c:numRef>
              <c:f>'Sheet 1 (2)'!$B$13:$B$39</c:f>
              <c:numCache>
                <c:formatCode>#,##0.##########</c:formatCode>
                <c:ptCount val="27"/>
                <c:pt idx="0">
                  <c:v>2.1</c:v>
                </c:pt>
                <c:pt idx="1">
                  <c:v>2.2000000000000002</c:v>
                </c:pt>
                <c:pt idx="2" formatCode="#,##0.0">
                  <c:v>4</c:v>
                </c:pt>
                <c:pt idx="3">
                  <c:v>4.2</c:v>
                </c:pt>
                <c:pt idx="4" formatCode="#,##0.0">
                  <c:v>5</c:v>
                </c:pt>
                <c:pt idx="5">
                  <c:v>5.2</c:v>
                </c:pt>
                <c:pt idx="6">
                  <c:v>5.2</c:v>
                </c:pt>
                <c:pt idx="7">
                  <c:v>5.3</c:v>
                </c:pt>
                <c:pt idx="8">
                  <c:v>5.5</c:v>
                </c:pt>
                <c:pt idx="9">
                  <c:v>5.8</c:v>
                </c:pt>
                <c:pt idx="10">
                  <c:v>5.9</c:v>
                </c:pt>
                <c:pt idx="11">
                  <c:v>6.1</c:v>
                </c:pt>
                <c:pt idx="12">
                  <c:v>6.5</c:v>
                </c:pt>
                <c:pt idx="13">
                  <c:v>6.7</c:v>
                </c:pt>
                <c:pt idx="14">
                  <c:v>7.2</c:v>
                </c:pt>
                <c:pt idx="15">
                  <c:v>7.9</c:v>
                </c:pt>
                <c:pt idx="16" formatCode="#,##0.0">
                  <c:v>8</c:v>
                </c:pt>
                <c:pt idx="17" formatCode="#,##0.0">
                  <c:v>8</c:v>
                </c:pt>
                <c:pt idx="18">
                  <c:v>9.2000000000000011</c:v>
                </c:pt>
                <c:pt idx="19">
                  <c:v>9.9</c:v>
                </c:pt>
                <c:pt idx="20">
                  <c:v>10.1</c:v>
                </c:pt>
                <c:pt idx="21">
                  <c:v>10.6</c:v>
                </c:pt>
                <c:pt idx="22" formatCode="#,##0.0">
                  <c:v>12</c:v>
                </c:pt>
                <c:pt idx="23">
                  <c:v>14.3</c:v>
                </c:pt>
                <c:pt idx="24">
                  <c:v>18.3</c:v>
                </c:pt>
                <c:pt idx="25">
                  <c:v>31.1</c:v>
                </c:pt>
                <c:pt idx="26">
                  <c:v>34.300000000000004</c:v>
                </c:pt>
              </c:numCache>
            </c:numRef>
          </c:val>
          <c:extLst>
            <c:ext xmlns:c16="http://schemas.microsoft.com/office/drawing/2014/chart" uri="{C3380CC4-5D6E-409C-BE32-E72D297353CC}">
              <c16:uniqueId val="{00000000-F831-4E34-AE11-3247F0699513}"/>
            </c:ext>
          </c:extLst>
        </c:ser>
        <c:dLbls>
          <c:showLegendKey val="0"/>
          <c:showVal val="0"/>
          <c:showCatName val="0"/>
          <c:showSerName val="0"/>
          <c:showPercent val="0"/>
          <c:showBubbleSize val="0"/>
        </c:dLbls>
        <c:gapWidth val="182"/>
        <c:axId val="132353408"/>
        <c:axId val="132498944"/>
      </c:barChart>
      <c:catAx>
        <c:axId val="1323534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el-GR"/>
          </a:p>
        </c:txPr>
        <c:crossAx val="132498944"/>
        <c:crosses val="autoZero"/>
        <c:auto val="1"/>
        <c:lblAlgn val="ctr"/>
        <c:lblOffset val="100"/>
        <c:noMultiLvlLbl val="0"/>
      </c:catAx>
      <c:valAx>
        <c:axId val="132498944"/>
        <c:scaling>
          <c:orientation val="minMax"/>
        </c:scaling>
        <c:delete val="1"/>
        <c:axPos val="b"/>
        <c:numFmt formatCode="#,##0.##########" sourceLinked="1"/>
        <c:majorTickMark val="none"/>
        <c:minorTickMark val="none"/>
        <c:tickLblPos val="none"/>
        <c:crossAx val="1323534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spcBef>
          <a:spcPts val="600"/>
        </a:spcBef>
        <a:defRPr>
          <a:latin typeface="Constantia" panose="02030602050306030303" pitchFamily="18" charset="0"/>
        </a:defRPr>
      </a:pPr>
      <a:endParaRPr lang="el-G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539877300613498E-2"/>
          <c:y val="1.9168104274487254E-2"/>
          <c:w val="0.94601226993865029"/>
          <c:h val="0.82337210723875154"/>
        </c:manualLayout>
      </c:layout>
      <c:barChart>
        <c:barDir val="col"/>
        <c:grouping val="clustered"/>
        <c:varyColors val="0"/>
        <c:ser>
          <c:idx val="0"/>
          <c:order val="0"/>
          <c:tx>
            <c:strRef>
              <c:f>'γραφημα 3'!$J$4</c:f>
              <c:strCache>
                <c:ptCount val="1"/>
                <c:pt idx="0">
                  <c:v>με αναπηρία</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Arial Narrow" panose="020B0606020202030204" pitchFamily="34" charset="0"/>
                    <a:ea typeface="+mn-ea"/>
                    <a:cs typeface="+mn-cs"/>
                  </a:defRPr>
                </a:pPr>
                <a:endParaRPr lang="LID4096"/>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'γραφημα 3'!$K$3:$L$3</c:f>
              <c:numCache>
                <c:formatCode>General</c:formatCode>
                <c:ptCount val="2"/>
                <c:pt idx="0">
                  <c:v>2021</c:v>
                </c:pt>
                <c:pt idx="1">
                  <c:v>2025</c:v>
                </c:pt>
              </c:numCache>
            </c:numRef>
          </c:cat>
          <c:val>
            <c:numRef>
              <c:f>'γραφημα 3'!$K$4:$L$4</c:f>
              <c:numCache>
                <c:formatCode>###0.0%</c:formatCode>
                <c:ptCount val="2"/>
                <c:pt idx="0">
                  <c:v>0.31298318141669473</c:v>
                </c:pt>
                <c:pt idx="1">
                  <c:v>0.47699999999999998</c:v>
                </c:pt>
              </c:numCache>
            </c:numRef>
          </c:val>
          <c:extLst>
            <c:ext xmlns:c16="http://schemas.microsoft.com/office/drawing/2014/chart" uri="{C3380CC4-5D6E-409C-BE32-E72D297353CC}">
              <c16:uniqueId val="{00000000-B5DE-46F2-8811-8E50843B6C9A}"/>
            </c:ext>
          </c:extLst>
        </c:ser>
        <c:ser>
          <c:idx val="1"/>
          <c:order val="1"/>
          <c:tx>
            <c:strRef>
              <c:f>'γραφημα 3'!$J$5</c:f>
              <c:strCache>
                <c:ptCount val="1"/>
                <c:pt idx="0">
                  <c:v>χωρίς αναπηρία</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Arial Narrow" panose="020B0606020202030204" pitchFamily="34" charset="0"/>
                    <a:ea typeface="+mn-ea"/>
                    <a:cs typeface="+mn-cs"/>
                  </a:defRPr>
                </a:pPr>
                <a:endParaRPr lang="LID4096"/>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'γραφημα 3'!$K$3:$L$3</c:f>
              <c:numCache>
                <c:formatCode>General</c:formatCode>
                <c:ptCount val="2"/>
                <c:pt idx="0">
                  <c:v>2021</c:v>
                </c:pt>
                <c:pt idx="1">
                  <c:v>2025</c:v>
                </c:pt>
              </c:numCache>
            </c:numRef>
          </c:cat>
          <c:val>
            <c:numRef>
              <c:f>'γραφημα 3'!$K$5:$L$5</c:f>
              <c:numCache>
                <c:formatCode>###0.0%</c:formatCode>
                <c:ptCount val="2"/>
                <c:pt idx="0">
                  <c:v>0.24196248892498209</c:v>
                </c:pt>
                <c:pt idx="1">
                  <c:v>0.29299999999999998</c:v>
                </c:pt>
              </c:numCache>
            </c:numRef>
          </c:val>
          <c:extLst>
            <c:ext xmlns:c16="http://schemas.microsoft.com/office/drawing/2014/chart" uri="{C3380CC4-5D6E-409C-BE32-E72D297353CC}">
              <c16:uniqueId val="{00000001-B5DE-46F2-8811-8E50843B6C9A}"/>
            </c:ext>
          </c:extLst>
        </c:ser>
        <c:dLbls>
          <c:showLegendKey val="0"/>
          <c:showVal val="0"/>
          <c:showCatName val="0"/>
          <c:showSerName val="0"/>
          <c:showPercent val="0"/>
          <c:showBubbleSize val="0"/>
        </c:dLbls>
        <c:gapWidth val="219"/>
        <c:overlap val="-27"/>
        <c:axId val="141175295"/>
        <c:axId val="128388511"/>
      </c:barChart>
      <c:catAx>
        <c:axId val="141175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Narrow" panose="020B0606020202030204" pitchFamily="34" charset="0"/>
                <a:ea typeface="+mn-ea"/>
                <a:cs typeface="+mn-cs"/>
              </a:defRPr>
            </a:pPr>
            <a:endParaRPr lang="de-DE"/>
          </a:p>
        </c:txPr>
        <c:crossAx val="128388511"/>
        <c:crosses val="autoZero"/>
        <c:auto val="1"/>
        <c:lblAlgn val="ctr"/>
        <c:lblOffset val="100"/>
        <c:noMultiLvlLbl val="0"/>
      </c:catAx>
      <c:valAx>
        <c:axId val="128388511"/>
        <c:scaling>
          <c:orientation val="minMax"/>
          <c:max val="0.5"/>
          <c:min val="0.1"/>
        </c:scaling>
        <c:delete val="1"/>
        <c:axPos val="l"/>
        <c:numFmt formatCode="###0.0%" sourceLinked="1"/>
        <c:majorTickMark val="none"/>
        <c:minorTickMark val="none"/>
        <c:tickLblPos val="nextTo"/>
        <c:crossAx val="141175295"/>
        <c:crosses val="autoZero"/>
        <c:crossBetween val="between"/>
      </c:valAx>
      <c:spPr>
        <a:noFill/>
        <a:ln>
          <a:noFill/>
        </a:ln>
        <a:effectLst/>
      </c:spPr>
    </c:plotArea>
    <c:legend>
      <c:legendPos val="b"/>
      <c:layout>
        <c:manualLayout>
          <c:xMode val="edge"/>
          <c:yMode val="edge"/>
          <c:x val="0.32995526786145601"/>
          <c:y val="0.90765531824335643"/>
          <c:w val="0.33518148881696536"/>
          <c:h val="6.167571491746395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Narrow" panose="020B0606020202030204" pitchFamily="34" charset="0"/>
              <a:ea typeface="+mn-ea"/>
              <a:cs typeface="+mn-cs"/>
            </a:defRPr>
          </a:pPr>
          <a:endParaRPr lang="de-DE"/>
        </a:p>
      </c:txPr>
    </c:legend>
    <c:plotVisOnly val="1"/>
    <c:dispBlanksAs val="gap"/>
    <c:showDLblsOverMax val="0"/>
  </c:chart>
  <c:spPr>
    <a:solidFill>
      <a:schemeClr val="bg1"/>
    </a:solidFill>
    <a:ln w="9525" cap="flat" cmpd="sng" algn="ctr">
      <a:no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0555555555555555E-2"/>
          <c:y val="3.7786774628879895E-2"/>
          <c:w val="0.93888888888888888"/>
          <c:h val="0.71393583899178592"/>
        </c:manualLayout>
      </c:layout>
      <c:barChart>
        <c:barDir val="col"/>
        <c:grouping val="clustered"/>
        <c:varyColors val="0"/>
        <c:ser>
          <c:idx val="0"/>
          <c:order val="0"/>
          <c:tx>
            <c:strRef>
              <c:f>'γραφημα 4'!$N$6</c:f>
              <c:strCache>
                <c:ptCount val="1"/>
                <c:pt idx="0">
                  <c:v>με αναπηρία</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Arial Narrow" panose="020B0606020202030204" pitchFamily="34" charset="0"/>
                    <a:ea typeface="+mn-ea"/>
                    <a:cs typeface="+mn-cs"/>
                  </a:defRPr>
                </a:pPr>
                <a:endParaRPr lang="LID4096"/>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'γραφημα 4'!$O$5:$P$5</c:f>
              <c:numCache>
                <c:formatCode>General</c:formatCode>
                <c:ptCount val="2"/>
                <c:pt idx="0">
                  <c:v>2021</c:v>
                </c:pt>
                <c:pt idx="1">
                  <c:v>2025</c:v>
                </c:pt>
              </c:numCache>
            </c:numRef>
          </c:cat>
          <c:val>
            <c:numRef>
              <c:f>'γραφημα 4'!$O$6:$P$6</c:f>
              <c:numCache>
                <c:formatCode>0.0%</c:formatCode>
                <c:ptCount val="2"/>
                <c:pt idx="0">
                  <c:v>0.27974924892179842</c:v>
                </c:pt>
                <c:pt idx="1">
                  <c:v>0.37855203567371681</c:v>
                </c:pt>
              </c:numCache>
            </c:numRef>
          </c:val>
          <c:extLst>
            <c:ext xmlns:c16="http://schemas.microsoft.com/office/drawing/2014/chart" uri="{C3380CC4-5D6E-409C-BE32-E72D297353CC}">
              <c16:uniqueId val="{00000000-11EA-4D68-AEE0-0F560AC1C84C}"/>
            </c:ext>
          </c:extLst>
        </c:ser>
        <c:ser>
          <c:idx val="1"/>
          <c:order val="1"/>
          <c:tx>
            <c:strRef>
              <c:f>'γραφημα 4'!$N$7</c:f>
              <c:strCache>
                <c:ptCount val="1"/>
                <c:pt idx="0">
                  <c:v>χωρίς αναπηρία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Arial Narrow" panose="020B0606020202030204" pitchFamily="34" charset="0"/>
                    <a:ea typeface="+mn-ea"/>
                    <a:cs typeface="+mn-cs"/>
                  </a:defRPr>
                </a:pPr>
                <a:endParaRPr lang="LID4096"/>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'γραφημα 4'!$O$5:$P$5</c:f>
              <c:numCache>
                <c:formatCode>General</c:formatCode>
                <c:ptCount val="2"/>
                <c:pt idx="0">
                  <c:v>2021</c:v>
                </c:pt>
                <c:pt idx="1">
                  <c:v>2025</c:v>
                </c:pt>
              </c:numCache>
            </c:numRef>
          </c:cat>
          <c:val>
            <c:numRef>
              <c:f>'γραφημα 4'!$O$7:$P$7</c:f>
              <c:numCache>
                <c:formatCode>0.0%</c:formatCode>
                <c:ptCount val="2"/>
                <c:pt idx="0">
                  <c:v>0.25356128794315302</c:v>
                </c:pt>
                <c:pt idx="1">
                  <c:v>0.30007164588243845</c:v>
                </c:pt>
              </c:numCache>
            </c:numRef>
          </c:val>
          <c:extLst>
            <c:ext xmlns:c16="http://schemas.microsoft.com/office/drawing/2014/chart" uri="{C3380CC4-5D6E-409C-BE32-E72D297353CC}">
              <c16:uniqueId val="{00000001-11EA-4D68-AEE0-0F560AC1C84C}"/>
            </c:ext>
          </c:extLst>
        </c:ser>
        <c:dLbls>
          <c:showLegendKey val="0"/>
          <c:showVal val="0"/>
          <c:showCatName val="0"/>
          <c:showSerName val="0"/>
          <c:showPercent val="0"/>
          <c:showBubbleSize val="0"/>
        </c:dLbls>
        <c:gapWidth val="219"/>
        <c:overlap val="-27"/>
        <c:axId val="1511098751"/>
        <c:axId val="1511223055"/>
      </c:barChart>
      <c:catAx>
        <c:axId val="1511098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el-GR"/>
          </a:p>
        </c:txPr>
        <c:crossAx val="1511223055"/>
        <c:crosses val="autoZero"/>
        <c:auto val="1"/>
        <c:lblAlgn val="ctr"/>
        <c:lblOffset val="100"/>
        <c:noMultiLvlLbl val="0"/>
      </c:catAx>
      <c:valAx>
        <c:axId val="1511223055"/>
        <c:scaling>
          <c:orientation val="minMax"/>
          <c:min val="0.1"/>
        </c:scaling>
        <c:delete val="1"/>
        <c:axPos val="l"/>
        <c:numFmt formatCode="0.0%" sourceLinked="1"/>
        <c:majorTickMark val="none"/>
        <c:minorTickMark val="none"/>
        <c:tickLblPos val="nextTo"/>
        <c:crossAx val="15110987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el-GR"/>
        </a:p>
      </c:txPr>
    </c:legend>
    <c:plotVisOnly val="1"/>
    <c:dispBlanksAs val="gap"/>
    <c:showDLblsOverMax val="0"/>
  </c:chart>
  <c:spPr>
    <a:solidFill>
      <a:schemeClr val="bg1"/>
    </a:solidFill>
    <a:ln w="9525" cap="flat" cmpd="sng" algn="ctr">
      <a:noFill/>
      <a:round/>
    </a:ln>
    <a:effectLst/>
  </c:spPr>
  <c:txPr>
    <a:bodyPr/>
    <a:lstStyle/>
    <a:p>
      <a:pPr>
        <a:defRPr/>
      </a:pPr>
      <a:endParaRPr lang="el-G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Φύλλο1!$A$2</c:f>
              <c:strCache>
                <c:ptCount val="1"/>
                <c:pt idx="0">
                  <c:v>Greece</c:v>
                </c:pt>
              </c:strCache>
            </c:strRef>
          </c:tx>
          <c:spPr>
            <a:solidFill>
              <a:schemeClr val="accent1"/>
            </a:solidFill>
            <a:ln>
              <a:noFill/>
            </a:ln>
            <a:effectLst/>
          </c:spPr>
          <c:invertIfNegative val="0"/>
          <c:dLbls>
            <c:dLbl>
              <c:idx val="2"/>
              <c:layout>
                <c:manualLayout>
                  <c:x val="0"/>
                  <c:y val="-2.29445506692160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7B3-4B62-B91E-D868BE7A4290}"/>
                </c:ext>
              </c:extLst>
            </c:dLbl>
            <c:dLbl>
              <c:idx val="4"/>
              <c:layout>
                <c:manualLayout>
                  <c:x val="0"/>
                  <c:y val="-3.44168260038240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7B3-4B62-B91E-D868BE7A4290}"/>
                </c:ext>
              </c:extLst>
            </c:dLbl>
            <c:dLbl>
              <c:idx val="5"/>
              <c:layout>
                <c:manualLayout>
                  <c:x val="0"/>
                  <c:y val="-4.58891013384321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7B3-4B62-B91E-D868BE7A4290}"/>
                </c:ext>
              </c:extLst>
            </c:dLbl>
            <c:dLbl>
              <c:idx val="9"/>
              <c:layout>
                <c:manualLayout>
                  <c:x val="0"/>
                  <c:y val="-4.20650095602294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B3-4B62-B91E-D868BE7A4290}"/>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Arial Narrow" panose="020B0606020202030204" pitchFamily="34" charset="0"/>
                    <a:ea typeface="+mn-ea"/>
                    <a:cs typeface="+mn-cs"/>
                  </a:defRPr>
                </a:pPr>
                <a:endParaRPr lang="el-G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50" cap="rnd">
                <a:solidFill>
                  <a:srgbClr val="FFC000"/>
                </a:solidFill>
                <a:prstDash val="sysDot"/>
              </a:ln>
              <a:effectLst/>
            </c:spPr>
            <c:trendlineType val="poly"/>
            <c:order val="2"/>
            <c:dispRSqr val="0"/>
            <c:dispEq val="0"/>
          </c:trendline>
          <c:cat>
            <c:strRef>
              <c:f>Φύλλο1!$B$1:$K$1</c:f>
              <c:strCache>
                <c:ptCount val="10"/>
                <c:pt idx="0">
                  <c:v>2016</c:v>
                </c:pt>
                <c:pt idx="1">
                  <c:v>2017</c:v>
                </c:pt>
                <c:pt idx="2">
                  <c:v>2018</c:v>
                </c:pt>
                <c:pt idx="3">
                  <c:v>2019</c:v>
                </c:pt>
                <c:pt idx="4">
                  <c:v>2020</c:v>
                </c:pt>
                <c:pt idx="5">
                  <c:v>2021</c:v>
                </c:pt>
                <c:pt idx="6">
                  <c:v>2022</c:v>
                </c:pt>
                <c:pt idx="7">
                  <c:v>2023</c:v>
                </c:pt>
                <c:pt idx="8">
                  <c:v>2024</c:v>
                </c:pt>
                <c:pt idx="9">
                  <c:v>2025</c:v>
                </c:pt>
              </c:strCache>
            </c:strRef>
          </c:cat>
          <c:val>
            <c:numRef>
              <c:f>Φύλλο1!$B$2:$K$2</c:f>
              <c:numCache>
                <c:formatCode>#,##0.##########</c:formatCode>
                <c:ptCount val="10"/>
                <c:pt idx="0">
                  <c:v>46.4</c:v>
                </c:pt>
                <c:pt idx="1">
                  <c:v>42.8</c:v>
                </c:pt>
                <c:pt idx="2">
                  <c:v>38.5</c:v>
                </c:pt>
                <c:pt idx="3">
                  <c:v>38.6</c:v>
                </c:pt>
                <c:pt idx="4">
                  <c:v>35.200000000000003</c:v>
                </c:pt>
                <c:pt idx="5">
                  <c:v>34.4</c:v>
                </c:pt>
                <c:pt idx="6">
                  <c:v>40.300000000000004</c:v>
                </c:pt>
                <c:pt idx="7">
                  <c:v>45.7</c:v>
                </c:pt>
                <c:pt idx="8">
                  <c:v>44.5</c:v>
                </c:pt>
                <c:pt idx="9">
                  <c:v>44.6</c:v>
                </c:pt>
              </c:numCache>
            </c:numRef>
          </c:val>
          <c:extLst>
            <c:ext xmlns:c16="http://schemas.microsoft.com/office/drawing/2014/chart" uri="{C3380CC4-5D6E-409C-BE32-E72D297353CC}">
              <c16:uniqueId val="{00000001-7B1A-4220-AABE-1B698522A4D4}"/>
            </c:ext>
          </c:extLst>
        </c:ser>
        <c:dLbls>
          <c:showLegendKey val="0"/>
          <c:showVal val="0"/>
          <c:showCatName val="0"/>
          <c:showSerName val="0"/>
          <c:showPercent val="0"/>
          <c:showBubbleSize val="0"/>
        </c:dLbls>
        <c:gapWidth val="219"/>
        <c:overlap val="-27"/>
        <c:axId val="132366336"/>
        <c:axId val="132367872"/>
      </c:barChart>
      <c:catAx>
        <c:axId val="13236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Narrow" panose="020B0606020202030204" pitchFamily="34" charset="0"/>
                <a:ea typeface="+mn-ea"/>
                <a:cs typeface="+mn-cs"/>
              </a:defRPr>
            </a:pPr>
            <a:endParaRPr lang="el-GR"/>
          </a:p>
        </c:txPr>
        <c:crossAx val="132367872"/>
        <c:crosses val="autoZero"/>
        <c:auto val="1"/>
        <c:lblAlgn val="ctr"/>
        <c:lblOffset val="100"/>
        <c:noMultiLvlLbl val="0"/>
      </c:catAx>
      <c:valAx>
        <c:axId val="132367872"/>
        <c:scaling>
          <c:orientation val="minMax"/>
        </c:scaling>
        <c:delete val="1"/>
        <c:axPos val="l"/>
        <c:numFmt formatCode="#,##0.##########" sourceLinked="1"/>
        <c:majorTickMark val="none"/>
        <c:minorTickMark val="none"/>
        <c:tickLblPos val="nextTo"/>
        <c:crossAx val="1323663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latin typeface="Constantia" panose="02030602050306030303" pitchFamily="18" charset="0"/>
        </a:defRPr>
      </a:pPr>
      <a:endParaRPr lang="el-G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7455384999376015E-2"/>
          <c:y val="0"/>
          <c:w val="0.945089230001248"/>
          <c:h val="0.86623217087401394"/>
        </c:manualLayout>
      </c:layout>
      <c:lineChart>
        <c:grouping val="standard"/>
        <c:varyColors val="0"/>
        <c:ser>
          <c:idx val="0"/>
          <c:order val="0"/>
          <c:tx>
            <c:strRef>
              <c:f>Φύλλο1!$A$12</c:f>
              <c:strCache>
                <c:ptCount val="1"/>
                <c:pt idx="0">
                  <c:v>Αδυναμία επαρκούς θέρμανσης του σπιτιού ανά επίπεδο αναπηρίας (περιορισμός δραστηριότητας)</c:v>
                </c:pt>
              </c:strCache>
            </c:strRef>
          </c:tx>
          <c:spPr>
            <a:ln w="28575" cap="rnd">
              <a:solidFill>
                <a:schemeClr val="accent1"/>
              </a:solidFill>
              <a:round/>
            </a:ln>
            <a:effectLst/>
          </c:spPr>
          <c:marker>
            <c:symbol val="none"/>
          </c:marker>
          <c:dLbls>
            <c:dLbl>
              <c:idx val="0"/>
              <c:layout>
                <c:manualLayout>
                  <c:x val="-4.7422937726194936E-2"/>
                  <c:y val="-5.11508951406649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AE-4D08-93E5-62D80A3429D6}"/>
                </c:ext>
              </c:extLst>
            </c:dLbl>
            <c:dLbl>
              <c:idx val="1"/>
              <c:layout>
                <c:manualLayout>
                  <c:x val="-5.2414825907899684E-2"/>
                  <c:y val="-7.4401302022785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AE-4D08-93E5-62D80A3429D6}"/>
                </c:ext>
              </c:extLst>
            </c:dLbl>
            <c:dLbl>
              <c:idx val="2"/>
              <c:layout>
                <c:manualLayout>
                  <c:x val="-4.4926993635342569E-2"/>
                  <c:y val="-8.83515461520576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AE-4D08-93E5-62D80A3429D6}"/>
                </c:ext>
              </c:extLst>
            </c:dLbl>
            <c:dLbl>
              <c:idx val="3"/>
              <c:layout>
                <c:manualLayout>
                  <c:x val="-3.4943217271933107E-2"/>
                  <c:y val="-6.9751220646361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0AE-4D08-93E5-62D80A3429D6}"/>
                </c:ext>
              </c:extLst>
            </c:dLbl>
            <c:dLbl>
              <c:idx val="4"/>
              <c:layout>
                <c:manualLayout>
                  <c:x val="-4.2431049544490201E-2"/>
                  <c:y val="-4.65008137642408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0AE-4D08-93E5-62D80A3429D6}"/>
                </c:ext>
              </c:extLst>
            </c:dLbl>
            <c:dLbl>
              <c:idx val="5"/>
              <c:layout>
                <c:manualLayout>
                  <c:x val="-3.9935105453637841E-2"/>
                  <c:y val="4.65008137642408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AE-4D08-93E5-62D80A3429D6}"/>
                </c:ext>
              </c:extLst>
            </c:dLbl>
            <c:dLbl>
              <c:idx val="6"/>
              <c:layout>
                <c:manualLayout>
                  <c:x val="-3.7439161362785474E-2"/>
                  <c:y val="-5.11508951406649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0AE-4D08-93E5-62D80A3429D6}"/>
                </c:ext>
              </c:extLst>
            </c:dLbl>
            <c:dLbl>
              <c:idx val="7"/>
              <c:layout>
                <c:manualLayout>
                  <c:x val="-3.9935105453637841E-2"/>
                  <c:y val="-5.11508951406649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0AE-4D08-93E5-62D80A3429D6}"/>
                </c:ext>
              </c:extLst>
            </c:dLbl>
            <c:dLbl>
              <c:idx val="8"/>
              <c:layout>
                <c:manualLayout>
                  <c:x val="-4.7422937726195116E-2"/>
                  <c:y val="6.04510578935130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0AE-4D08-93E5-62D80A3429D6}"/>
                </c:ext>
              </c:extLst>
            </c:dLbl>
            <c:dLbl>
              <c:idx val="9"/>
              <c:layout>
                <c:manualLayout>
                  <c:x val="-4.2431049544490201E-2"/>
                  <c:y val="-7.44013020227854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0AE-4D08-93E5-62D80A3429D6}"/>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Arial Narrow" panose="020B0606020202030204" pitchFamily="34" charset="0"/>
                    <a:ea typeface="+mn-ea"/>
                    <a:cs typeface="+mn-cs"/>
                  </a:defRPr>
                </a:pPr>
                <a:endParaRPr lang="el-G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Φύλλο1!$B$11:$K$11</c:f>
              <c:strCache>
                <c:ptCount val="10"/>
                <c:pt idx="0">
                  <c:v>2016</c:v>
                </c:pt>
                <c:pt idx="1">
                  <c:v>2017</c:v>
                </c:pt>
                <c:pt idx="2">
                  <c:v>2018</c:v>
                </c:pt>
                <c:pt idx="3">
                  <c:v>2019</c:v>
                </c:pt>
                <c:pt idx="4">
                  <c:v>2020</c:v>
                </c:pt>
                <c:pt idx="5">
                  <c:v>2021</c:v>
                </c:pt>
                <c:pt idx="6">
                  <c:v>2022</c:v>
                </c:pt>
                <c:pt idx="7">
                  <c:v>2023</c:v>
                </c:pt>
                <c:pt idx="8">
                  <c:v>2024</c:v>
                </c:pt>
                <c:pt idx="9">
                  <c:v>2025</c:v>
                </c:pt>
              </c:strCache>
            </c:strRef>
          </c:cat>
          <c:val>
            <c:numRef>
              <c:f>Φύλλο1!$B$12:$K$12</c:f>
              <c:numCache>
                <c:formatCode>#,##0.##########</c:formatCode>
                <c:ptCount val="10"/>
                <c:pt idx="0">
                  <c:v>36.300000000000004</c:v>
                </c:pt>
                <c:pt idx="1">
                  <c:v>33.6</c:v>
                </c:pt>
                <c:pt idx="2">
                  <c:v>28.8</c:v>
                </c:pt>
                <c:pt idx="3">
                  <c:v>24.3</c:v>
                </c:pt>
                <c:pt idx="4">
                  <c:v>23.8</c:v>
                </c:pt>
                <c:pt idx="5">
                  <c:v>22.5</c:v>
                </c:pt>
                <c:pt idx="6">
                  <c:v>24.8</c:v>
                </c:pt>
                <c:pt idx="7">
                  <c:v>25.3</c:v>
                </c:pt>
                <c:pt idx="8">
                  <c:v>24.5</c:v>
                </c:pt>
                <c:pt idx="9">
                  <c:v>25.2</c:v>
                </c:pt>
              </c:numCache>
            </c:numRef>
          </c:val>
          <c:smooth val="0"/>
          <c:extLst>
            <c:ext xmlns:c16="http://schemas.microsoft.com/office/drawing/2014/chart" uri="{C3380CC4-5D6E-409C-BE32-E72D297353CC}">
              <c16:uniqueId val="{00000000-A62B-4925-8431-69929BB2F07F}"/>
            </c:ext>
          </c:extLst>
        </c:ser>
        <c:dLbls>
          <c:showLegendKey val="0"/>
          <c:showVal val="0"/>
          <c:showCatName val="0"/>
          <c:showSerName val="0"/>
          <c:showPercent val="0"/>
          <c:showBubbleSize val="0"/>
        </c:dLbls>
        <c:smooth val="0"/>
        <c:axId val="132417024"/>
        <c:axId val="132418560"/>
      </c:lineChart>
      <c:catAx>
        <c:axId val="132417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Narrow" panose="020B0606020202030204" pitchFamily="34" charset="0"/>
                <a:ea typeface="+mn-ea"/>
                <a:cs typeface="+mn-cs"/>
              </a:defRPr>
            </a:pPr>
            <a:endParaRPr lang="el-GR"/>
          </a:p>
        </c:txPr>
        <c:crossAx val="132418560"/>
        <c:crosses val="autoZero"/>
        <c:auto val="1"/>
        <c:lblAlgn val="ctr"/>
        <c:lblOffset val="100"/>
        <c:noMultiLvlLbl val="0"/>
      </c:catAx>
      <c:valAx>
        <c:axId val="132418560"/>
        <c:scaling>
          <c:orientation val="minMax"/>
          <c:min val="15"/>
        </c:scaling>
        <c:delete val="1"/>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crossAx val="132417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latin typeface="Constantia" panose="02030602050306030303" pitchFamily="18" charset="0"/>
        </a:defRPr>
      </a:pPr>
      <a:endParaRPr lang="el-G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6274931326884032E-2"/>
          <c:y val="0"/>
          <c:w val="0.94745013734623196"/>
          <c:h val="0.70372561832260594"/>
        </c:manualLayout>
      </c:layout>
      <c:barChart>
        <c:barDir val="col"/>
        <c:grouping val="clustered"/>
        <c:varyColors val="0"/>
        <c:ser>
          <c:idx val="0"/>
          <c:order val="0"/>
          <c:tx>
            <c:strRef>
              <c:f>'προσβασιμοτητα all'!$R$3</c:f>
              <c:strCache>
                <c:ptCount val="1"/>
                <c:pt idx="0">
                  <c:v>2021</c:v>
                </c:pt>
              </c:strCache>
            </c:strRef>
          </c:tx>
          <c:spPr>
            <a:solidFill>
              <a:schemeClr val="accent1"/>
            </a:solidFill>
            <a:ln>
              <a:noFill/>
            </a:ln>
            <a:effectLst/>
          </c:spPr>
          <c:invertIfNegative val="0"/>
          <c:dLbls>
            <c:spPr>
              <a:noFill/>
              <a:ln>
                <a:noFill/>
              </a:ln>
              <a:effectLst/>
            </c:spPr>
            <c:txPr>
              <a:bodyPr rot="0" vert="horz"/>
              <a:lstStyle/>
              <a:p>
                <a:pPr>
                  <a:defRPr sz="1100">
                    <a:latin typeface="Arial Narrow" panose="020B0606020202030204" pitchFamily="34" charset="0"/>
                  </a:defRPr>
                </a:pPr>
                <a:endParaRPr lang="el-G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'προσβασιμοτητα all'!$Q$4:$Q$6</c:f>
              <c:strCache>
                <c:ptCount val="3"/>
                <c:pt idx="0">
                  <c:v>Ναι, έχουμε προβεί σε όλες τις αναγκαίες παρεμβάσεις στην κατοικία </c:v>
                </c:pt>
                <c:pt idx="1">
                  <c:v>Έχουμε προβεί σε μερικές αλλά όχι σε όλες τις αναγκαίες παρεμβάσεις </c:v>
                </c:pt>
                <c:pt idx="2">
                  <c:v>Όχι, δεν έχουμε προβεί σε παρεμβάσεις στην κατοικία</c:v>
                </c:pt>
              </c:strCache>
            </c:strRef>
          </c:cat>
          <c:val>
            <c:numRef>
              <c:f>'προσβασιμοτητα all'!$R$4:$R$6</c:f>
              <c:numCache>
                <c:formatCode>0.0%</c:formatCode>
                <c:ptCount val="3"/>
                <c:pt idx="0">
                  <c:v>0.25258676119225526</c:v>
                </c:pt>
                <c:pt idx="1">
                  <c:v>0.16409174250290245</c:v>
                </c:pt>
                <c:pt idx="2">
                  <c:v>0.58332149630484265</c:v>
                </c:pt>
              </c:numCache>
            </c:numRef>
          </c:val>
          <c:extLst>
            <c:ext xmlns:c16="http://schemas.microsoft.com/office/drawing/2014/chart" uri="{C3380CC4-5D6E-409C-BE32-E72D297353CC}">
              <c16:uniqueId val="{00000000-FD06-4C52-AB6D-08D161341A61}"/>
            </c:ext>
          </c:extLst>
        </c:ser>
        <c:ser>
          <c:idx val="1"/>
          <c:order val="1"/>
          <c:tx>
            <c:strRef>
              <c:f>'προσβασιμοτητα all'!$S$3</c:f>
              <c:strCache>
                <c:ptCount val="1"/>
                <c:pt idx="0">
                  <c:v>2025</c:v>
                </c:pt>
              </c:strCache>
            </c:strRef>
          </c:tx>
          <c:spPr>
            <a:solidFill>
              <a:schemeClr val="accent2"/>
            </a:solidFill>
            <a:ln>
              <a:noFill/>
            </a:ln>
            <a:effectLst/>
          </c:spPr>
          <c:invertIfNegative val="0"/>
          <c:dLbls>
            <c:spPr>
              <a:noFill/>
              <a:ln>
                <a:noFill/>
              </a:ln>
              <a:effectLst/>
            </c:spPr>
            <c:txPr>
              <a:bodyPr rot="0" vert="horz"/>
              <a:lstStyle/>
              <a:p>
                <a:pPr>
                  <a:defRPr>
                    <a:latin typeface="Arial Narrow" panose="020B0606020202030204" pitchFamily="34" charset="0"/>
                  </a:defRPr>
                </a:pPr>
                <a:endParaRPr lang="el-G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'προσβασιμοτητα all'!$Q$4:$Q$6</c:f>
              <c:strCache>
                <c:ptCount val="3"/>
                <c:pt idx="0">
                  <c:v>Ναι, έχουμε προβεί σε όλες τις αναγκαίες παρεμβάσεις στην κατοικία </c:v>
                </c:pt>
                <c:pt idx="1">
                  <c:v>Έχουμε προβεί σε μερικές αλλά όχι σε όλες τις αναγκαίες παρεμβάσεις </c:v>
                </c:pt>
                <c:pt idx="2">
                  <c:v>Όχι, δεν έχουμε προβεί σε παρεμβάσεις στην κατοικία</c:v>
                </c:pt>
              </c:strCache>
            </c:strRef>
          </c:cat>
          <c:val>
            <c:numRef>
              <c:f>'προσβασιμοτητα all'!$S$4:$S$6</c:f>
              <c:numCache>
                <c:formatCode>0.0%</c:formatCode>
                <c:ptCount val="3"/>
                <c:pt idx="0">
                  <c:v>0.15306192874276717</c:v>
                </c:pt>
                <c:pt idx="1">
                  <c:v>0.1416969859152746</c:v>
                </c:pt>
                <c:pt idx="2">
                  <c:v>0.7052410853419584</c:v>
                </c:pt>
              </c:numCache>
            </c:numRef>
          </c:val>
          <c:extLst>
            <c:ext xmlns:c16="http://schemas.microsoft.com/office/drawing/2014/chart" uri="{C3380CC4-5D6E-409C-BE32-E72D297353CC}">
              <c16:uniqueId val="{00000001-FD06-4C52-AB6D-08D161341A61}"/>
            </c:ext>
          </c:extLst>
        </c:ser>
        <c:dLbls>
          <c:showLegendKey val="0"/>
          <c:showVal val="0"/>
          <c:showCatName val="0"/>
          <c:showSerName val="0"/>
          <c:showPercent val="0"/>
          <c:showBubbleSize val="0"/>
        </c:dLbls>
        <c:gapWidth val="219"/>
        <c:overlap val="-27"/>
        <c:axId val="132505984"/>
        <c:axId val="132507520"/>
      </c:barChart>
      <c:catAx>
        <c:axId val="132505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1000">
                <a:latin typeface="Arial Narrow" panose="020B0606020202030204" pitchFamily="34" charset="0"/>
              </a:defRPr>
            </a:pPr>
            <a:endParaRPr lang="el-GR"/>
          </a:p>
        </c:txPr>
        <c:crossAx val="132507520"/>
        <c:crosses val="autoZero"/>
        <c:auto val="1"/>
        <c:lblAlgn val="ctr"/>
        <c:lblOffset val="100"/>
        <c:noMultiLvlLbl val="0"/>
      </c:catAx>
      <c:valAx>
        <c:axId val="132507520"/>
        <c:scaling>
          <c:orientation val="minMax"/>
        </c:scaling>
        <c:delete val="1"/>
        <c:axPos val="l"/>
        <c:numFmt formatCode="0.0%" sourceLinked="1"/>
        <c:majorTickMark val="none"/>
        <c:minorTickMark val="none"/>
        <c:tickLblPos val="nextTo"/>
        <c:crossAx val="132505984"/>
        <c:crosses val="autoZero"/>
        <c:crossBetween val="between"/>
      </c:valAx>
      <c:spPr>
        <a:noFill/>
        <a:ln>
          <a:noFill/>
        </a:ln>
        <a:effectLst/>
      </c:spPr>
    </c:plotArea>
    <c:legend>
      <c:legendPos val="b"/>
      <c:overlay val="0"/>
      <c:spPr>
        <a:noFill/>
        <a:ln>
          <a:noFill/>
        </a:ln>
        <a:effectLst/>
      </c:spPr>
      <c:txPr>
        <a:bodyPr rot="0" vert="horz"/>
        <a:lstStyle/>
        <a:p>
          <a:pPr>
            <a:defRPr>
              <a:latin typeface="Arial Narrow" panose="020B0606020202030204" pitchFamily="34" charset="0"/>
            </a:defRPr>
          </a:pPr>
          <a:endParaRPr lang="el-GR"/>
        </a:p>
      </c:txPr>
    </c:legend>
    <c:plotVisOnly val="1"/>
    <c:dispBlanksAs val="gap"/>
    <c:showDLblsOverMax val="0"/>
  </c:chart>
  <c:spPr>
    <a:solidFill>
      <a:schemeClr val="bg1"/>
    </a:solidFill>
    <a:ln w="9525" cap="flat" cmpd="sng" algn="ctr">
      <a:noFill/>
      <a:round/>
    </a:ln>
    <a:effectLst/>
  </c:spPr>
  <c:txPr>
    <a:bodyPr/>
    <a:lstStyle/>
    <a:p>
      <a:pPr>
        <a:defRPr sz="1100">
          <a:latin typeface="Constantia" panose="02030602050306030303" pitchFamily="18" charset="0"/>
        </a:defRPr>
      </a:pPr>
      <a:endParaRPr lang="el-G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Μπλε ΙΙ">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9D86E-E0D1-4474-914C-9957532BF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5111</Words>
  <Characters>27600</Characters>
  <Application>Microsoft Office Word</Application>
  <DocSecurity>0</DocSecurity>
  <Lines>230</Lines>
  <Paragraphs>65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ΔΕΛΤΙΟ ΣΤΑΤΙΣΤΙΚΗΣ ΠΛΗΡΟΦΟΡΗΣΗΣ (2024, 2ο ΔΕΛΤΙΟ)</vt:lpstr>
      <vt:lpstr>ΔΕΛΤΙΟ ΣΤΑΤΙΣΤΙΚΗΣ ΠΛΗΡΟΦΟΡΗΣΗΣ (2024, 2ο ΔΕΛΤΙΟ)</vt:lpstr>
    </vt:vector>
  </TitlesOfParts>
  <Manager>Παρατηρητήριο Θεμάτων Αναπηρίας</Manager>
  <Company>Εθνική Συνομοσπονδία Ατόμων με Αναπηρία (Ε.Σ.Α.μεΑ.)</Company>
  <LinksUpToDate>false</LinksUpToDate>
  <CharactersWithSpaces>32646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ΣΤΑΤΙΣΤΙΚΗΣ ΠΛΗΡΟΦΟΡΗΣΗΣ (2024, 2ο ΔΕΛΤΙΟ)</dc:title>
  <dc:subject>Δείκτες Ποιότητας Ζωής και Άτομα με Αναπηρία</dc:subject>
  <dc:creator>Φανή Προβή</dc:creator>
  <cp:keywords/>
  <dc:description/>
  <cp:lastModifiedBy>officeuser3</cp:lastModifiedBy>
  <cp:revision>14</cp:revision>
  <dcterms:created xsi:type="dcterms:W3CDTF">2026-09-14T09:57:00Z</dcterms:created>
  <dcterms:modified xsi:type="dcterms:W3CDTF">2026-09-21T12:56:00Z</dcterms:modified>
  <cp:contentStatus>Final</cp:contentStatus>
</cp:coreProperties>
</file>