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7C80C" w14:textId="77777777" w:rsidR="003D48AE" w:rsidRDefault="009C010A">
      <w:pPr>
        <w:spacing w:before="240"/>
        <w:ind w:right="-1"/>
        <w:jc w:val="center"/>
        <w:rPr>
          <w:b/>
          <w:lang w:val="el-GR"/>
        </w:rPr>
      </w:pPr>
      <w:r>
        <w:rPr>
          <w:noProof/>
          <w:lang w:val="el-GR" w:eastAsia="el-GR"/>
        </w:rPr>
        <w:drawing>
          <wp:inline distT="0" distB="0" distL="0" distR="0" wp14:anchorId="3297A0D8" wp14:editId="7E02559B">
            <wp:extent cx="5239385" cy="494665"/>
            <wp:effectExtent l="0" t="0" r="0" b="635"/>
            <wp:docPr id="2" name="Εικόνα 1" descr="ΕΣΠΑ 2021-2027.&#10;Πρόγραμμα Ανθρώπινο Δυναμικό και Κοινωνική Συνοχή.&#10;Με τη συγχρηματοδότηση της Ευρωπαϊκής Έ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ΣΠΑ 2021-2027.&#10;Πρόγραμμα Ανθρώπινο Δυναμικό και Κοινωνική Συνοχή.&#10;Με τη συγχρηματοδότηση της Ευρωπαϊκής Ένωση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81900" cy="498893"/>
                    </a:xfrm>
                    <a:prstGeom prst="rect">
                      <a:avLst/>
                    </a:prstGeom>
                    <a:noFill/>
                    <a:ln>
                      <a:noFill/>
                    </a:ln>
                  </pic:spPr>
                </pic:pic>
              </a:graphicData>
            </a:graphic>
          </wp:inline>
        </w:drawing>
      </w:r>
    </w:p>
    <w:p w14:paraId="60A24FFF" w14:textId="77777777" w:rsidR="003D48AE" w:rsidRDefault="00F1449B">
      <w:pPr>
        <w:spacing w:before="240"/>
        <w:ind w:left="426" w:right="-1"/>
        <w:jc w:val="right"/>
        <w:rPr>
          <w:b/>
          <w:lang w:val="el-GR"/>
        </w:rPr>
      </w:pPr>
      <w:r>
        <w:rPr>
          <w:b/>
          <w:lang w:val="el-GR"/>
        </w:rPr>
        <w:t>Αθήνα: 2</w:t>
      </w:r>
      <w:r w:rsidR="009C010A">
        <w:rPr>
          <w:b/>
          <w:lang w:val="el-GR"/>
        </w:rPr>
        <w:t>/7/2025</w:t>
      </w:r>
    </w:p>
    <w:p w14:paraId="4DE3C918" w14:textId="64E5834F" w:rsidR="003D48AE" w:rsidRDefault="009C010A" w:rsidP="00717ABE">
      <w:pPr>
        <w:pStyle w:val="Title"/>
        <w:spacing w:before="360"/>
        <w:contextualSpacing w:val="0"/>
        <w:jc w:val="center"/>
        <w:rPr>
          <w:b/>
          <w:bCs/>
          <w:color w:val="0075B0"/>
          <w:sz w:val="36"/>
          <w:szCs w:val="36"/>
          <w:lang w:val="el-GR"/>
        </w:rPr>
      </w:pPr>
      <w:r>
        <w:rPr>
          <w:b/>
          <w:bCs/>
          <w:color w:val="0075B0"/>
          <w:sz w:val="52"/>
          <w:szCs w:val="52"/>
          <w:lang w:val="el-GR"/>
        </w:rPr>
        <w:t>Δ</w:t>
      </w:r>
      <w:r>
        <w:rPr>
          <w:b/>
          <w:bCs/>
          <w:color w:val="0075B0"/>
          <w:sz w:val="36"/>
          <w:szCs w:val="36"/>
          <w:lang w:val="el-GR"/>
        </w:rPr>
        <w:t xml:space="preserve">ΕΛΤΙΟ </w:t>
      </w:r>
      <w:r>
        <w:rPr>
          <w:b/>
          <w:bCs/>
          <w:color w:val="0075B0"/>
          <w:sz w:val="52"/>
          <w:szCs w:val="52"/>
          <w:lang w:val="el-GR"/>
        </w:rPr>
        <w:t>Σ</w:t>
      </w:r>
      <w:r>
        <w:rPr>
          <w:b/>
          <w:bCs/>
          <w:color w:val="0075B0"/>
          <w:sz w:val="36"/>
          <w:szCs w:val="36"/>
          <w:lang w:val="el-GR"/>
        </w:rPr>
        <w:t xml:space="preserve">ΤΑΤΙΣΤΙΚΗΣ </w:t>
      </w:r>
      <w:r>
        <w:rPr>
          <w:b/>
          <w:bCs/>
          <w:color w:val="0075B0"/>
          <w:sz w:val="52"/>
          <w:szCs w:val="52"/>
          <w:lang w:val="el-GR"/>
        </w:rPr>
        <w:t>Π</w:t>
      </w:r>
      <w:r>
        <w:rPr>
          <w:b/>
          <w:bCs/>
          <w:color w:val="0075B0"/>
          <w:sz w:val="36"/>
          <w:szCs w:val="36"/>
          <w:lang w:val="el-GR"/>
        </w:rPr>
        <w:t>ΛΗΡΟΦΟΡΗΣΗΣ</w:t>
      </w:r>
    </w:p>
    <w:p w14:paraId="36A6874B" w14:textId="77777777" w:rsidR="003D48AE" w:rsidRDefault="009C010A">
      <w:pPr>
        <w:spacing w:after="0"/>
        <w:jc w:val="center"/>
        <w:rPr>
          <w:color w:val="595959" w:themeColor="text1" w:themeTint="A6"/>
          <w:sz w:val="28"/>
          <w:szCs w:val="28"/>
          <w:lang w:val="el-GR"/>
        </w:rPr>
      </w:pPr>
      <w:r w:rsidRPr="001E1CA2">
        <w:rPr>
          <w:color w:val="595959" w:themeColor="text1" w:themeTint="A6"/>
          <w:sz w:val="28"/>
          <w:szCs w:val="28"/>
          <w:lang w:val="el-GR"/>
        </w:rPr>
        <w:t>[2025_1</w:t>
      </w:r>
      <w:r w:rsidRPr="001E1CA2">
        <w:rPr>
          <w:color w:val="595959" w:themeColor="text1" w:themeTint="A6"/>
          <w:sz w:val="28"/>
          <w:szCs w:val="28"/>
          <w:vertAlign w:val="superscript"/>
          <w:lang w:val="el-GR"/>
        </w:rPr>
        <w:t xml:space="preserve">ο </w:t>
      </w:r>
      <w:r w:rsidRPr="001E1CA2">
        <w:rPr>
          <w:color w:val="595959" w:themeColor="text1" w:themeTint="A6"/>
          <w:sz w:val="28"/>
          <w:szCs w:val="28"/>
          <w:lang w:val="el-GR"/>
        </w:rPr>
        <w:t>ΔΕΛΤΙΟ]</w:t>
      </w:r>
    </w:p>
    <w:p w14:paraId="0DA1016B" w14:textId="77777777" w:rsidR="00717ABE" w:rsidRPr="001E1CA2" w:rsidRDefault="00717ABE">
      <w:pPr>
        <w:spacing w:after="0"/>
        <w:jc w:val="center"/>
        <w:rPr>
          <w:color w:val="595959" w:themeColor="text1" w:themeTint="A6"/>
          <w:sz w:val="28"/>
          <w:szCs w:val="28"/>
          <w:lang w:val="el-GR"/>
        </w:rPr>
      </w:pPr>
    </w:p>
    <w:p w14:paraId="2DA11F77" w14:textId="6CAE620C" w:rsidR="003D48AE" w:rsidRDefault="00717ABE" w:rsidP="00717ABE">
      <w:pPr>
        <w:spacing w:before="240" w:after="240"/>
        <w:jc w:val="center"/>
        <w:rPr>
          <w:b/>
          <w:bCs/>
          <w:sz w:val="30"/>
          <w:szCs w:val="30"/>
          <w:lang w:val="el-GR"/>
        </w:rPr>
      </w:pPr>
      <w:r>
        <w:rPr>
          <w:b/>
          <w:bCs/>
          <w:noProof/>
          <w:sz w:val="30"/>
          <w:szCs w:val="30"/>
          <w:lang w:val="el-GR" w:eastAsia="el-GR"/>
        </w:rPr>
        <mc:AlternateContent>
          <mc:Choice Requires="wps">
            <w:drawing>
              <wp:anchor distT="0" distB="0" distL="114300" distR="114300" simplePos="0" relativeHeight="251658239" behindDoc="1" locked="0" layoutInCell="1" allowOverlap="1" wp14:anchorId="09AD2554" wp14:editId="6ACAA612">
                <wp:simplePos x="0" y="0"/>
                <wp:positionH relativeFrom="column">
                  <wp:posOffset>11430</wp:posOffset>
                </wp:positionH>
                <wp:positionV relativeFrom="paragraph">
                  <wp:posOffset>739677</wp:posOffset>
                </wp:positionV>
                <wp:extent cx="5490845" cy="4722829"/>
                <wp:effectExtent l="0" t="0" r="14605" b="20955"/>
                <wp:wrapNone/>
                <wp:docPr id="46256584" name="Rectangle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5490845" cy="4722829"/>
                        </a:xfrm>
                        <a:prstGeom prst="rect">
                          <a:avLst/>
                        </a:prstGeom>
                        <a:solidFill>
                          <a:schemeClr val="accent3">
                            <a:lumMod val="20000"/>
                            <a:lumOff val="80000"/>
                          </a:schemeClr>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484621" id="Rectangle 1" o:spid="_x0000_s1026" alt="&quot;&quot;" style="position:absolute;margin-left:.9pt;margin-top:58.25pt;width:432.35pt;height:371.9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" fillcolor="#ededed [662]" strokecolor="#0070c0" strokeweight="1pt"/>
            </w:pict>
          </mc:Fallback>
        </mc:AlternateContent>
      </w:r>
      <w:r w:rsidR="009C010A">
        <w:rPr>
          <w:b/>
          <w:bCs/>
          <w:sz w:val="30"/>
          <w:szCs w:val="30"/>
          <w:lang w:val="el-GR"/>
        </w:rPr>
        <w:t xml:space="preserve">«ΔΑΠΑΝΕΣ ΚΟΙΝΩΝΙΚΗΣ ΠΡΟΣΤΑΣΙΑΣ ΚΑΙ </w:t>
      </w:r>
      <w:r>
        <w:rPr>
          <w:b/>
          <w:bCs/>
          <w:sz w:val="30"/>
          <w:szCs w:val="30"/>
          <w:lang w:val="el-GR"/>
        </w:rPr>
        <w:br/>
      </w:r>
      <w:r w:rsidR="009C010A">
        <w:rPr>
          <w:b/>
          <w:bCs/>
          <w:sz w:val="30"/>
          <w:szCs w:val="30"/>
          <w:lang w:val="el-GR"/>
        </w:rPr>
        <w:t>ΠΡΟΣΤΑΣΙΑ ΤΗΣ ΑΝΑΠΗΡΙΑΣ»</w:t>
      </w:r>
    </w:p>
    <w:p w14:paraId="1940DC31" w14:textId="409D46B5" w:rsidR="003D48AE" w:rsidRPr="00C105AB" w:rsidRDefault="009C010A" w:rsidP="00CB42EB">
      <w:pPr>
        <w:spacing w:line="240" w:lineRule="auto"/>
        <w:ind w:left="255" w:right="312"/>
        <w:jc w:val="both"/>
        <w:rPr>
          <w:spacing w:val="-2"/>
          <w:sz w:val="24"/>
          <w:szCs w:val="24"/>
          <w:lang w:val="el-GR"/>
        </w:rPr>
      </w:pPr>
      <w:r w:rsidRPr="00C105AB">
        <w:rPr>
          <w:spacing w:val="-2"/>
          <w:sz w:val="24"/>
          <w:szCs w:val="24"/>
          <w:lang w:val="el-GR"/>
        </w:rPr>
        <w:t>Τα Δελτία Στατιστικής Πληροφόρησης της Εθνικής Συνομοσπονδίας Ατόμων με Αναπηρία (Ε.Σ.Α.μεΑ.) εντάσσονται στο Έργο «Παρατηρητήριο Θεμάτων Αναπηρίας» που χρηματοδοτείται από το Ευρωπαϊκό Κοινωνικό Ταμείο και από εθνικούς πόρους, με αντικείμενο την επιστημονική καταγραφή, τη μελέτη και την έρευνα σε θέματα αναπηρίας.</w:t>
      </w:r>
    </w:p>
    <w:p w14:paraId="684C13F9" w14:textId="77777777" w:rsidR="003D48AE" w:rsidRPr="00C105AB" w:rsidRDefault="009C010A" w:rsidP="00CB42EB">
      <w:pPr>
        <w:spacing w:line="240" w:lineRule="auto"/>
        <w:ind w:left="255" w:right="312"/>
        <w:jc w:val="both"/>
        <w:rPr>
          <w:spacing w:val="-2"/>
          <w:sz w:val="24"/>
          <w:szCs w:val="24"/>
          <w:lang w:val="el-GR"/>
        </w:rPr>
      </w:pPr>
      <w:r w:rsidRPr="00C105AB">
        <w:rPr>
          <w:spacing w:val="-2"/>
          <w:sz w:val="24"/>
          <w:szCs w:val="24"/>
          <w:lang w:val="el-GR"/>
        </w:rPr>
        <w:t>Στόχος του Έργου αποτελεί η καθιέρωση του Παρατηρητηρίου ως βασική πηγή πληροφόρησης για τις εξελίξεις στο πεδίο της αναπηρίας. Συγκεντρώνοντας και αναλύοντας δεδομένα και πληροφόρηση από εγχώριες και διεθνείς πηγές, το Παρατηρητήριο συμβάλλει στην παρακολούθηση, στην προστασία και στην προώθηση των δικαιωμάτων των ατόμων με αναπηρία, χρόνιες παθήσεις και των οικογενειών τους.</w:t>
      </w:r>
    </w:p>
    <w:p w14:paraId="49A71EEF" w14:textId="77777777" w:rsidR="003D48AE" w:rsidRDefault="009C010A" w:rsidP="00CB42EB">
      <w:pPr>
        <w:spacing w:line="240" w:lineRule="auto"/>
        <w:ind w:left="255" w:right="312"/>
        <w:jc w:val="both"/>
        <w:rPr>
          <w:spacing w:val="-2"/>
          <w:sz w:val="24"/>
          <w:szCs w:val="24"/>
          <w:lang w:val="el-GR"/>
        </w:rPr>
      </w:pPr>
      <w:r>
        <w:rPr>
          <w:spacing w:val="-2"/>
          <w:sz w:val="24"/>
          <w:szCs w:val="24"/>
          <w:lang w:val="el-GR"/>
        </w:rPr>
        <w:t>Με τον νόμο 4488/2017, το Παρατηρητήριο της Ε.Σ.Α.μεΑ.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 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διαβούλευση με το Παρατηρητήριο Θεμάτων Αναπηρίας της Εθνικής Συνομοσπονδίας Ατόμων με Αναπηρία.</w:t>
      </w:r>
    </w:p>
    <w:p w14:paraId="4B8985A5" w14:textId="0865351E" w:rsidR="003D48AE" w:rsidRDefault="009C010A" w:rsidP="00CB42EB">
      <w:pPr>
        <w:spacing w:line="240" w:lineRule="auto"/>
        <w:ind w:left="255" w:right="312"/>
        <w:jc w:val="both"/>
        <w:rPr>
          <w:spacing w:val="-2"/>
          <w:sz w:val="24"/>
          <w:szCs w:val="24"/>
          <w:lang w:val="el-GR"/>
        </w:rPr>
      </w:pPr>
      <w:r>
        <w:rPr>
          <w:spacing w:val="-2"/>
          <w:sz w:val="24"/>
          <w:szCs w:val="24"/>
          <w:lang w:val="el-GR"/>
        </w:rPr>
        <w:t>Σε αυτό το πλαίσιο συντάσσονται και δημοσιεύονται, ανά τακτά χρονικά διαστήματα, δελτία στατιστικής πληροφόρησης αφιερωμένα σε συγκριμένα θεματικά πεδία, όπου παρουσιάζονται τα σημαντικότερα ευρήματα και τάσεις όπως αυτά προκύπτουν μέσω της επεξεργασίας των διαθέσιμων στατιστικών στοιχείων.</w:t>
      </w:r>
    </w:p>
    <w:p w14:paraId="75D8F6FC" w14:textId="77777777" w:rsidR="003D48AE" w:rsidRDefault="009C010A" w:rsidP="00717ABE">
      <w:pPr>
        <w:spacing w:before="240" w:line="240" w:lineRule="auto"/>
        <w:jc w:val="center"/>
        <w:rPr>
          <w:i/>
          <w:iCs/>
          <w:lang w:val="el-GR"/>
        </w:rPr>
      </w:pPr>
      <w:r>
        <w:rPr>
          <w:i/>
          <w:iCs/>
          <w:lang w:val="el-GR"/>
        </w:rPr>
        <w:t xml:space="preserve">Για περισσότερες πληροφορίες για το Έργο, απευθυνθείτε στην Ιστοσελίδα του Έργου: </w:t>
      </w:r>
      <w:hyperlink r:id="rId9" w:tooltip="Επίσημη Ιστοσελίδα της Πράξης " w:history="1">
        <w:r>
          <w:rPr>
            <w:rStyle w:val="Hyperlink"/>
            <w:i/>
            <w:iCs/>
            <w:lang w:val="el-GR"/>
          </w:rPr>
          <w:t>www.paratiritirioanapirias.gr</w:t>
        </w:r>
      </w:hyperlink>
      <w:r>
        <w:rPr>
          <w:i/>
          <w:iCs/>
          <w:lang w:val="el-GR"/>
        </w:rPr>
        <w:t>)</w:t>
      </w:r>
    </w:p>
    <w:p w14:paraId="1F881EE7" w14:textId="77777777" w:rsidR="003D48AE" w:rsidRDefault="009C010A">
      <w:pPr>
        <w:rPr>
          <w:highlight w:val="yellow"/>
          <w:lang w:val="el-GR"/>
        </w:rPr>
      </w:pPr>
      <w:r>
        <w:rPr>
          <w:highlight w:val="yellow"/>
          <w:lang w:val="el-GR"/>
        </w:rPr>
        <w:br w:type="page"/>
      </w:r>
    </w:p>
    <w:sdt>
      <w:sdtPr>
        <w:rPr>
          <w:rFonts w:asciiTheme="minorHAnsi" w:eastAsiaTheme="minorHAnsi" w:hAnsiTheme="minorHAnsi" w:cstheme="minorBidi"/>
          <w:color w:val="auto"/>
          <w:sz w:val="22"/>
          <w:szCs w:val="22"/>
          <w:lang w:val="el-GR"/>
        </w:rPr>
        <w:id w:val="-664017367"/>
        <w:docPartObj>
          <w:docPartGallery w:val="Table of Contents"/>
          <w:docPartUnique/>
        </w:docPartObj>
      </w:sdtPr>
      <w:sdtEndPr/>
      <w:sdtContent>
        <w:p w14:paraId="44165969" w14:textId="77777777" w:rsidR="003D48AE" w:rsidRDefault="009C010A">
          <w:pPr>
            <w:pStyle w:val="10"/>
            <w:numPr>
              <w:ilvl w:val="0"/>
              <w:numId w:val="0"/>
            </w:numPr>
            <w:spacing w:after="240"/>
            <w:jc w:val="center"/>
            <w:rPr>
              <w:rFonts w:cstheme="majorHAnsi"/>
              <w:color w:val="000000" w:themeColor="text1"/>
              <w:lang w:val="el-GR"/>
            </w:rPr>
          </w:pPr>
          <w:r>
            <w:rPr>
              <w:rFonts w:cstheme="majorHAnsi"/>
              <w:color w:val="000000" w:themeColor="text1"/>
              <w:u w:val="single"/>
              <w:lang w:val="el-GR"/>
            </w:rPr>
            <w:t>ΠΕΡΙΕΧΟΜΕΝΑ</w:t>
          </w:r>
        </w:p>
        <w:p w14:paraId="2870F4A7" w14:textId="7137B499" w:rsidR="003D48AE" w:rsidRPr="00E92831" w:rsidRDefault="009C010A">
          <w:pPr>
            <w:pStyle w:val="TOC1"/>
            <w:tabs>
              <w:tab w:val="clear" w:pos="440"/>
              <w:tab w:val="clear" w:pos="9203"/>
              <w:tab w:val="right" w:leader="dot" w:pos="8787"/>
            </w:tabs>
            <w:rPr>
              <w:rFonts w:asciiTheme="majorHAnsi" w:hAnsiTheme="majorHAnsi" w:cstheme="majorHAnsi"/>
              <w:noProof/>
            </w:rPr>
          </w:pPr>
          <w:r w:rsidRPr="00E92831">
            <w:rPr>
              <w:rFonts w:asciiTheme="majorHAnsi" w:hAnsiTheme="majorHAnsi" w:cstheme="majorHAnsi"/>
            </w:rPr>
            <w:fldChar w:fldCharType="begin"/>
          </w:r>
          <w:r w:rsidRPr="00E92831">
            <w:rPr>
              <w:rFonts w:asciiTheme="majorHAnsi" w:hAnsiTheme="majorHAnsi" w:cstheme="majorHAnsi"/>
            </w:rPr>
            <w:instrText xml:space="preserve"> TOC \o "1-3" \h \z \u </w:instrText>
          </w:r>
          <w:r w:rsidRPr="00E92831">
            <w:rPr>
              <w:rFonts w:asciiTheme="majorHAnsi" w:hAnsiTheme="majorHAnsi" w:cstheme="majorHAnsi"/>
            </w:rPr>
            <w:fldChar w:fldCharType="separate"/>
          </w:r>
          <w:hyperlink w:anchor="_Toc21665" w:history="1">
            <w:r w:rsidRPr="00E92831">
              <w:rPr>
                <w:rFonts w:asciiTheme="majorHAnsi" w:hAnsiTheme="majorHAnsi" w:cstheme="majorHAnsi"/>
                <w:bCs/>
                <w:noProof/>
                <w:lang w:val="el-GR"/>
              </w:rPr>
              <w:t>ΕΙΣΑΓΩΓΗ</w:t>
            </w:r>
            <w:r w:rsidRPr="00E92831">
              <w:rPr>
                <w:rFonts w:asciiTheme="majorHAnsi" w:hAnsiTheme="majorHAnsi" w:cstheme="majorHAnsi"/>
                <w:noProof/>
              </w:rPr>
              <w:tab/>
            </w:r>
            <w:r w:rsidRPr="00E92831">
              <w:rPr>
                <w:rFonts w:asciiTheme="majorHAnsi" w:hAnsiTheme="majorHAnsi" w:cstheme="majorHAnsi"/>
                <w:noProof/>
              </w:rPr>
              <w:fldChar w:fldCharType="begin"/>
            </w:r>
            <w:r w:rsidRPr="00E92831">
              <w:rPr>
                <w:rFonts w:asciiTheme="majorHAnsi" w:hAnsiTheme="majorHAnsi" w:cstheme="majorHAnsi"/>
                <w:noProof/>
              </w:rPr>
              <w:instrText xml:space="preserve"> PAGEREF _Toc21665 \h </w:instrText>
            </w:r>
            <w:r w:rsidRPr="00E92831">
              <w:rPr>
                <w:rFonts w:asciiTheme="majorHAnsi" w:hAnsiTheme="majorHAnsi" w:cstheme="majorHAnsi"/>
                <w:noProof/>
              </w:rPr>
            </w:r>
            <w:r w:rsidRPr="00E92831">
              <w:rPr>
                <w:rFonts w:asciiTheme="majorHAnsi" w:hAnsiTheme="majorHAnsi" w:cstheme="majorHAnsi"/>
                <w:noProof/>
              </w:rPr>
              <w:fldChar w:fldCharType="separate"/>
            </w:r>
            <w:r w:rsidR="00E92831" w:rsidRPr="00E92831">
              <w:rPr>
                <w:rFonts w:asciiTheme="majorHAnsi" w:hAnsiTheme="majorHAnsi" w:cstheme="majorHAnsi"/>
                <w:noProof/>
              </w:rPr>
              <w:t>4</w:t>
            </w:r>
            <w:r w:rsidRPr="00E92831">
              <w:rPr>
                <w:rFonts w:asciiTheme="majorHAnsi" w:hAnsiTheme="majorHAnsi" w:cstheme="majorHAnsi"/>
                <w:noProof/>
              </w:rPr>
              <w:fldChar w:fldCharType="end"/>
            </w:r>
          </w:hyperlink>
        </w:p>
        <w:p w14:paraId="1066668A" w14:textId="4DE5B9DA" w:rsidR="003D48AE" w:rsidRPr="00E92831" w:rsidRDefault="001F01B0">
          <w:pPr>
            <w:pStyle w:val="TOC1"/>
            <w:tabs>
              <w:tab w:val="clear" w:pos="440"/>
              <w:tab w:val="clear" w:pos="9203"/>
              <w:tab w:val="right" w:leader="dot" w:pos="8787"/>
            </w:tabs>
            <w:rPr>
              <w:rFonts w:asciiTheme="majorHAnsi" w:hAnsiTheme="majorHAnsi" w:cstheme="majorHAnsi"/>
              <w:noProof/>
            </w:rPr>
          </w:pPr>
          <w:hyperlink w:anchor="_Toc16838" w:history="1">
            <w:r w:rsidR="009C010A" w:rsidRPr="00E92831">
              <w:rPr>
                <w:rFonts w:asciiTheme="majorHAnsi" w:hAnsiTheme="majorHAnsi" w:cstheme="majorHAnsi"/>
                <w:bCs/>
                <w:noProof/>
                <w:lang w:val="el-GR"/>
              </w:rPr>
              <w:t>ΒΑΣΙΚΑ ΕΥΡΥΜΑΤΑ</w:t>
            </w:r>
            <w:r w:rsidR="009C010A" w:rsidRPr="00E92831">
              <w:rPr>
                <w:rFonts w:asciiTheme="majorHAnsi" w:hAnsiTheme="majorHAnsi" w:cstheme="majorHAnsi"/>
                <w:noProof/>
              </w:rPr>
              <w:tab/>
            </w:r>
            <w:r w:rsidR="009C010A" w:rsidRPr="00E92831">
              <w:rPr>
                <w:rFonts w:asciiTheme="majorHAnsi" w:hAnsiTheme="majorHAnsi" w:cstheme="majorHAnsi"/>
                <w:noProof/>
              </w:rPr>
              <w:fldChar w:fldCharType="begin"/>
            </w:r>
            <w:r w:rsidR="009C010A" w:rsidRPr="00E92831">
              <w:rPr>
                <w:rFonts w:asciiTheme="majorHAnsi" w:hAnsiTheme="majorHAnsi" w:cstheme="majorHAnsi"/>
                <w:noProof/>
              </w:rPr>
              <w:instrText xml:space="preserve"> PAGEREF _Toc16838 \h </w:instrText>
            </w:r>
            <w:r w:rsidR="009C010A" w:rsidRPr="00E92831">
              <w:rPr>
                <w:rFonts w:asciiTheme="majorHAnsi" w:hAnsiTheme="majorHAnsi" w:cstheme="majorHAnsi"/>
                <w:noProof/>
              </w:rPr>
            </w:r>
            <w:r w:rsidR="009C010A" w:rsidRPr="00E92831">
              <w:rPr>
                <w:rFonts w:asciiTheme="majorHAnsi" w:hAnsiTheme="majorHAnsi" w:cstheme="majorHAnsi"/>
                <w:noProof/>
              </w:rPr>
              <w:fldChar w:fldCharType="separate"/>
            </w:r>
            <w:r w:rsidR="00E92831" w:rsidRPr="00E92831">
              <w:rPr>
                <w:rFonts w:asciiTheme="majorHAnsi" w:hAnsiTheme="majorHAnsi" w:cstheme="majorHAnsi"/>
                <w:noProof/>
              </w:rPr>
              <w:t>6</w:t>
            </w:r>
            <w:r w:rsidR="009C010A" w:rsidRPr="00E92831">
              <w:rPr>
                <w:rFonts w:asciiTheme="majorHAnsi" w:hAnsiTheme="majorHAnsi" w:cstheme="majorHAnsi"/>
                <w:noProof/>
              </w:rPr>
              <w:fldChar w:fldCharType="end"/>
            </w:r>
          </w:hyperlink>
        </w:p>
        <w:p w14:paraId="437874A1" w14:textId="699CA525" w:rsidR="003D48AE" w:rsidRPr="00E92831" w:rsidRDefault="001F01B0">
          <w:pPr>
            <w:pStyle w:val="TOC1"/>
            <w:tabs>
              <w:tab w:val="clear" w:pos="440"/>
              <w:tab w:val="clear" w:pos="9203"/>
              <w:tab w:val="right" w:leader="dot" w:pos="8787"/>
            </w:tabs>
            <w:rPr>
              <w:rFonts w:asciiTheme="majorHAnsi" w:hAnsiTheme="majorHAnsi" w:cstheme="majorHAnsi"/>
              <w:noProof/>
            </w:rPr>
          </w:pPr>
          <w:hyperlink w:anchor="_Toc23670" w:history="1">
            <w:r w:rsidR="009C010A" w:rsidRPr="00E92831">
              <w:rPr>
                <w:rFonts w:asciiTheme="majorHAnsi" w:hAnsiTheme="majorHAnsi" w:cstheme="majorHAnsi"/>
                <w:bCs/>
                <w:noProof/>
                <w:lang w:val="el-GR"/>
              </w:rPr>
              <w:t>ΒΑΣΙΚΑ ΣΥΜΠΕΡΑΣΜΑΤΑ</w:t>
            </w:r>
            <w:r w:rsidR="009C010A" w:rsidRPr="00E92831">
              <w:rPr>
                <w:rFonts w:asciiTheme="majorHAnsi" w:hAnsiTheme="majorHAnsi" w:cstheme="majorHAnsi"/>
                <w:noProof/>
              </w:rPr>
              <w:tab/>
            </w:r>
            <w:r w:rsidR="009C010A" w:rsidRPr="00E92831">
              <w:rPr>
                <w:rFonts w:asciiTheme="majorHAnsi" w:hAnsiTheme="majorHAnsi" w:cstheme="majorHAnsi"/>
                <w:noProof/>
              </w:rPr>
              <w:fldChar w:fldCharType="begin"/>
            </w:r>
            <w:r w:rsidR="009C010A" w:rsidRPr="00E92831">
              <w:rPr>
                <w:rFonts w:asciiTheme="majorHAnsi" w:hAnsiTheme="majorHAnsi" w:cstheme="majorHAnsi"/>
                <w:noProof/>
              </w:rPr>
              <w:instrText xml:space="preserve"> PAGEREF _Toc23670 \h </w:instrText>
            </w:r>
            <w:r w:rsidR="009C010A" w:rsidRPr="00E92831">
              <w:rPr>
                <w:rFonts w:asciiTheme="majorHAnsi" w:hAnsiTheme="majorHAnsi" w:cstheme="majorHAnsi"/>
                <w:noProof/>
              </w:rPr>
            </w:r>
            <w:r w:rsidR="009C010A" w:rsidRPr="00E92831">
              <w:rPr>
                <w:rFonts w:asciiTheme="majorHAnsi" w:hAnsiTheme="majorHAnsi" w:cstheme="majorHAnsi"/>
                <w:noProof/>
              </w:rPr>
              <w:fldChar w:fldCharType="separate"/>
            </w:r>
            <w:r w:rsidR="00E92831" w:rsidRPr="00E92831">
              <w:rPr>
                <w:rFonts w:asciiTheme="majorHAnsi" w:hAnsiTheme="majorHAnsi" w:cstheme="majorHAnsi"/>
                <w:noProof/>
              </w:rPr>
              <w:t>8</w:t>
            </w:r>
            <w:r w:rsidR="009C010A" w:rsidRPr="00E92831">
              <w:rPr>
                <w:rFonts w:asciiTheme="majorHAnsi" w:hAnsiTheme="majorHAnsi" w:cstheme="majorHAnsi"/>
                <w:noProof/>
              </w:rPr>
              <w:fldChar w:fldCharType="end"/>
            </w:r>
          </w:hyperlink>
        </w:p>
        <w:p w14:paraId="7F1F1CAD" w14:textId="2C9664A6" w:rsidR="003D48AE" w:rsidRPr="00E92831" w:rsidRDefault="001F01B0">
          <w:pPr>
            <w:pStyle w:val="TOC1"/>
            <w:tabs>
              <w:tab w:val="clear" w:pos="440"/>
              <w:tab w:val="clear" w:pos="9203"/>
              <w:tab w:val="right" w:leader="dot" w:pos="8787"/>
            </w:tabs>
            <w:rPr>
              <w:rFonts w:asciiTheme="majorHAnsi" w:hAnsiTheme="majorHAnsi" w:cstheme="majorHAnsi"/>
              <w:noProof/>
            </w:rPr>
          </w:pPr>
          <w:hyperlink w:anchor="_Toc18745" w:history="1">
            <w:r w:rsidR="009C010A" w:rsidRPr="00E92831">
              <w:rPr>
                <w:rFonts w:asciiTheme="majorHAnsi" w:hAnsiTheme="majorHAnsi" w:cstheme="majorHAnsi"/>
                <w:bCs/>
                <w:noProof/>
                <w:lang w:val="el-GR"/>
              </w:rPr>
              <w:t>ΑΝΑΛΥΣΗ ΕΥΡΥΜΑΤΩΝ</w:t>
            </w:r>
            <w:r w:rsidR="009C010A" w:rsidRPr="00E92831">
              <w:rPr>
                <w:rFonts w:asciiTheme="majorHAnsi" w:hAnsiTheme="majorHAnsi" w:cstheme="majorHAnsi"/>
                <w:noProof/>
              </w:rPr>
              <w:tab/>
            </w:r>
            <w:r w:rsidR="009C010A" w:rsidRPr="00E92831">
              <w:rPr>
                <w:rFonts w:asciiTheme="majorHAnsi" w:hAnsiTheme="majorHAnsi" w:cstheme="majorHAnsi"/>
                <w:noProof/>
              </w:rPr>
              <w:fldChar w:fldCharType="begin"/>
            </w:r>
            <w:r w:rsidR="009C010A" w:rsidRPr="00E92831">
              <w:rPr>
                <w:rFonts w:asciiTheme="majorHAnsi" w:hAnsiTheme="majorHAnsi" w:cstheme="majorHAnsi"/>
                <w:noProof/>
              </w:rPr>
              <w:instrText xml:space="preserve"> PAGEREF _Toc18745 \h </w:instrText>
            </w:r>
            <w:r w:rsidR="009C010A" w:rsidRPr="00E92831">
              <w:rPr>
                <w:rFonts w:asciiTheme="majorHAnsi" w:hAnsiTheme="majorHAnsi" w:cstheme="majorHAnsi"/>
                <w:noProof/>
              </w:rPr>
            </w:r>
            <w:r w:rsidR="009C010A" w:rsidRPr="00E92831">
              <w:rPr>
                <w:rFonts w:asciiTheme="majorHAnsi" w:hAnsiTheme="majorHAnsi" w:cstheme="majorHAnsi"/>
                <w:noProof/>
              </w:rPr>
              <w:fldChar w:fldCharType="separate"/>
            </w:r>
            <w:r w:rsidR="00E92831" w:rsidRPr="00E92831">
              <w:rPr>
                <w:rFonts w:asciiTheme="majorHAnsi" w:hAnsiTheme="majorHAnsi" w:cstheme="majorHAnsi"/>
                <w:noProof/>
              </w:rPr>
              <w:t>9</w:t>
            </w:r>
            <w:r w:rsidR="009C010A" w:rsidRPr="00E92831">
              <w:rPr>
                <w:rFonts w:asciiTheme="majorHAnsi" w:hAnsiTheme="majorHAnsi" w:cstheme="majorHAnsi"/>
                <w:noProof/>
              </w:rPr>
              <w:fldChar w:fldCharType="end"/>
            </w:r>
          </w:hyperlink>
        </w:p>
        <w:p w14:paraId="679C1108" w14:textId="60C762AE" w:rsidR="003D48AE" w:rsidRPr="00E92831" w:rsidRDefault="001F01B0">
          <w:pPr>
            <w:pStyle w:val="TOC2"/>
            <w:tabs>
              <w:tab w:val="right" w:leader="dot" w:pos="8787"/>
            </w:tabs>
            <w:rPr>
              <w:rFonts w:asciiTheme="majorHAnsi" w:hAnsiTheme="majorHAnsi" w:cstheme="majorHAnsi"/>
              <w:noProof/>
            </w:rPr>
          </w:pPr>
          <w:hyperlink w:anchor="_Toc25320" w:history="1">
            <w:r w:rsidR="009C010A" w:rsidRPr="00E92831">
              <w:rPr>
                <w:rFonts w:asciiTheme="majorHAnsi" w:hAnsiTheme="majorHAnsi" w:cstheme="majorHAnsi"/>
                <w:noProof/>
                <w:szCs w:val="24"/>
              </w:rPr>
              <w:t xml:space="preserve">1. </w:t>
            </w:r>
            <w:r w:rsidR="009C010A" w:rsidRPr="00E92831">
              <w:rPr>
                <w:rFonts w:asciiTheme="majorHAnsi" w:hAnsiTheme="majorHAnsi" w:cstheme="majorHAnsi"/>
                <w:noProof/>
              </w:rPr>
              <w:t>Παροχές κοινωνικής προστασίας</w:t>
            </w:r>
            <w:r w:rsidR="009C010A" w:rsidRPr="00E92831">
              <w:rPr>
                <w:rFonts w:asciiTheme="majorHAnsi" w:hAnsiTheme="majorHAnsi" w:cstheme="majorHAnsi"/>
                <w:noProof/>
              </w:rPr>
              <w:tab/>
            </w:r>
            <w:r w:rsidR="009C010A" w:rsidRPr="00E92831">
              <w:rPr>
                <w:rFonts w:asciiTheme="majorHAnsi" w:hAnsiTheme="majorHAnsi" w:cstheme="majorHAnsi"/>
                <w:noProof/>
              </w:rPr>
              <w:fldChar w:fldCharType="begin"/>
            </w:r>
            <w:r w:rsidR="009C010A" w:rsidRPr="00E92831">
              <w:rPr>
                <w:rFonts w:asciiTheme="majorHAnsi" w:hAnsiTheme="majorHAnsi" w:cstheme="majorHAnsi"/>
                <w:noProof/>
              </w:rPr>
              <w:instrText xml:space="preserve"> PAGEREF _Toc25320 \h </w:instrText>
            </w:r>
            <w:r w:rsidR="009C010A" w:rsidRPr="00E92831">
              <w:rPr>
                <w:rFonts w:asciiTheme="majorHAnsi" w:hAnsiTheme="majorHAnsi" w:cstheme="majorHAnsi"/>
                <w:noProof/>
              </w:rPr>
            </w:r>
            <w:r w:rsidR="009C010A" w:rsidRPr="00E92831">
              <w:rPr>
                <w:rFonts w:asciiTheme="majorHAnsi" w:hAnsiTheme="majorHAnsi" w:cstheme="majorHAnsi"/>
                <w:noProof/>
              </w:rPr>
              <w:fldChar w:fldCharType="separate"/>
            </w:r>
            <w:r w:rsidR="00E92831" w:rsidRPr="00E92831">
              <w:rPr>
                <w:rFonts w:asciiTheme="majorHAnsi" w:hAnsiTheme="majorHAnsi" w:cstheme="majorHAnsi"/>
                <w:noProof/>
              </w:rPr>
              <w:t>9</w:t>
            </w:r>
            <w:r w:rsidR="009C010A" w:rsidRPr="00E92831">
              <w:rPr>
                <w:rFonts w:asciiTheme="majorHAnsi" w:hAnsiTheme="majorHAnsi" w:cstheme="majorHAnsi"/>
                <w:noProof/>
              </w:rPr>
              <w:fldChar w:fldCharType="end"/>
            </w:r>
          </w:hyperlink>
        </w:p>
        <w:p w14:paraId="6946473B" w14:textId="7DC15178" w:rsidR="003D48AE" w:rsidRPr="00E92831" w:rsidRDefault="001F01B0">
          <w:pPr>
            <w:pStyle w:val="TOC2"/>
            <w:tabs>
              <w:tab w:val="right" w:leader="dot" w:pos="8787"/>
            </w:tabs>
            <w:rPr>
              <w:rFonts w:asciiTheme="majorHAnsi" w:hAnsiTheme="majorHAnsi" w:cstheme="majorHAnsi"/>
              <w:noProof/>
            </w:rPr>
          </w:pPr>
          <w:hyperlink w:anchor="_Toc29349" w:history="1">
            <w:r w:rsidR="009C010A" w:rsidRPr="00E92831">
              <w:rPr>
                <w:rFonts w:asciiTheme="majorHAnsi" w:hAnsiTheme="majorHAnsi" w:cstheme="majorHAnsi"/>
                <w:noProof/>
              </w:rPr>
              <w:t>2. Αποτελεσματικότητα των κοινωνικών παροχών στη μείωση της φτώχειας</w:t>
            </w:r>
            <w:r w:rsidR="009C010A" w:rsidRPr="00E92831">
              <w:rPr>
                <w:rFonts w:asciiTheme="majorHAnsi" w:hAnsiTheme="majorHAnsi" w:cstheme="majorHAnsi"/>
                <w:noProof/>
              </w:rPr>
              <w:tab/>
            </w:r>
            <w:r w:rsidR="009C010A" w:rsidRPr="00E92831">
              <w:rPr>
                <w:rFonts w:asciiTheme="majorHAnsi" w:hAnsiTheme="majorHAnsi" w:cstheme="majorHAnsi"/>
                <w:noProof/>
              </w:rPr>
              <w:fldChar w:fldCharType="begin"/>
            </w:r>
            <w:r w:rsidR="009C010A" w:rsidRPr="00E92831">
              <w:rPr>
                <w:rFonts w:asciiTheme="majorHAnsi" w:hAnsiTheme="majorHAnsi" w:cstheme="majorHAnsi"/>
                <w:noProof/>
              </w:rPr>
              <w:instrText xml:space="preserve"> PAGEREF _Toc29349 \h </w:instrText>
            </w:r>
            <w:r w:rsidR="009C010A" w:rsidRPr="00E92831">
              <w:rPr>
                <w:rFonts w:asciiTheme="majorHAnsi" w:hAnsiTheme="majorHAnsi" w:cstheme="majorHAnsi"/>
                <w:noProof/>
              </w:rPr>
            </w:r>
            <w:r w:rsidR="009C010A" w:rsidRPr="00E92831">
              <w:rPr>
                <w:rFonts w:asciiTheme="majorHAnsi" w:hAnsiTheme="majorHAnsi" w:cstheme="majorHAnsi"/>
                <w:noProof/>
              </w:rPr>
              <w:fldChar w:fldCharType="separate"/>
            </w:r>
            <w:r w:rsidR="00E92831" w:rsidRPr="00E92831">
              <w:rPr>
                <w:rFonts w:asciiTheme="majorHAnsi" w:hAnsiTheme="majorHAnsi" w:cstheme="majorHAnsi"/>
                <w:noProof/>
              </w:rPr>
              <w:t>12</w:t>
            </w:r>
            <w:r w:rsidR="009C010A" w:rsidRPr="00E92831">
              <w:rPr>
                <w:rFonts w:asciiTheme="majorHAnsi" w:hAnsiTheme="majorHAnsi" w:cstheme="majorHAnsi"/>
                <w:noProof/>
              </w:rPr>
              <w:fldChar w:fldCharType="end"/>
            </w:r>
          </w:hyperlink>
        </w:p>
        <w:p w14:paraId="48278EC8" w14:textId="31AF2203" w:rsidR="003D48AE" w:rsidRPr="00E92831" w:rsidRDefault="001F01B0">
          <w:pPr>
            <w:pStyle w:val="TOC2"/>
            <w:tabs>
              <w:tab w:val="right" w:leader="dot" w:pos="8787"/>
            </w:tabs>
            <w:rPr>
              <w:rFonts w:asciiTheme="majorHAnsi" w:hAnsiTheme="majorHAnsi" w:cstheme="majorHAnsi"/>
              <w:noProof/>
            </w:rPr>
          </w:pPr>
          <w:hyperlink w:anchor="_Toc30464" w:history="1">
            <w:r w:rsidR="009C010A" w:rsidRPr="00E92831">
              <w:rPr>
                <w:rFonts w:asciiTheme="majorHAnsi" w:hAnsiTheme="majorHAnsi" w:cstheme="majorHAnsi"/>
                <w:noProof/>
              </w:rPr>
              <w:t>3. Κατανομή παροχών κοινωνικής προστασίας ανά λειτουργία</w:t>
            </w:r>
            <w:r w:rsidR="009C010A" w:rsidRPr="00E92831">
              <w:rPr>
                <w:rFonts w:asciiTheme="majorHAnsi" w:hAnsiTheme="majorHAnsi" w:cstheme="majorHAnsi"/>
                <w:noProof/>
              </w:rPr>
              <w:tab/>
            </w:r>
            <w:r w:rsidR="009C010A" w:rsidRPr="00E92831">
              <w:rPr>
                <w:rFonts w:asciiTheme="majorHAnsi" w:hAnsiTheme="majorHAnsi" w:cstheme="majorHAnsi"/>
                <w:noProof/>
              </w:rPr>
              <w:fldChar w:fldCharType="begin"/>
            </w:r>
            <w:r w:rsidR="009C010A" w:rsidRPr="00E92831">
              <w:rPr>
                <w:rFonts w:asciiTheme="majorHAnsi" w:hAnsiTheme="majorHAnsi" w:cstheme="majorHAnsi"/>
                <w:noProof/>
              </w:rPr>
              <w:instrText xml:space="preserve"> PAGEREF _Toc30464 \h </w:instrText>
            </w:r>
            <w:r w:rsidR="009C010A" w:rsidRPr="00E92831">
              <w:rPr>
                <w:rFonts w:asciiTheme="majorHAnsi" w:hAnsiTheme="majorHAnsi" w:cstheme="majorHAnsi"/>
                <w:noProof/>
              </w:rPr>
            </w:r>
            <w:r w:rsidR="009C010A" w:rsidRPr="00E92831">
              <w:rPr>
                <w:rFonts w:asciiTheme="majorHAnsi" w:hAnsiTheme="majorHAnsi" w:cstheme="majorHAnsi"/>
                <w:noProof/>
              </w:rPr>
              <w:fldChar w:fldCharType="separate"/>
            </w:r>
            <w:r w:rsidR="00E92831" w:rsidRPr="00E92831">
              <w:rPr>
                <w:rFonts w:asciiTheme="majorHAnsi" w:hAnsiTheme="majorHAnsi" w:cstheme="majorHAnsi"/>
                <w:noProof/>
              </w:rPr>
              <w:t>13</w:t>
            </w:r>
            <w:r w:rsidR="009C010A" w:rsidRPr="00E92831">
              <w:rPr>
                <w:rFonts w:asciiTheme="majorHAnsi" w:hAnsiTheme="majorHAnsi" w:cstheme="majorHAnsi"/>
                <w:noProof/>
              </w:rPr>
              <w:fldChar w:fldCharType="end"/>
            </w:r>
          </w:hyperlink>
        </w:p>
        <w:p w14:paraId="309D5B29" w14:textId="128F3E6B" w:rsidR="003D48AE" w:rsidRPr="00E92831" w:rsidRDefault="001F01B0">
          <w:pPr>
            <w:pStyle w:val="TOC2"/>
            <w:tabs>
              <w:tab w:val="right" w:leader="dot" w:pos="8787"/>
            </w:tabs>
            <w:rPr>
              <w:rFonts w:asciiTheme="majorHAnsi" w:hAnsiTheme="majorHAnsi" w:cstheme="majorHAnsi"/>
              <w:noProof/>
            </w:rPr>
          </w:pPr>
          <w:hyperlink w:anchor="_Toc12647" w:history="1">
            <w:r w:rsidR="009C010A" w:rsidRPr="00E92831">
              <w:rPr>
                <w:rFonts w:asciiTheme="majorHAnsi" w:hAnsiTheme="majorHAnsi" w:cstheme="majorHAnsi"/>
                <w:noProof/>
              </w:rPr>
              <w:t>4. Δαπάνες για κοινωνικές παροχές για την «Αναπηρία»</w:t>
            </w:r>
            <w:r w:rsidR="009C010A" w:rsidRPr="00E92831">
              <w:rPr>
                <w:rFonts w:asciiTheme="majorHAnsi" w:hAnsiTheme="majorHAnsi" w:cstheme="majorHAnsi"/>
                <w:noProof/>
              </w:rPr>
              <w:tab/>
            </w:r>
            <w:r w:rsidR="009C010A" w:rsidRPr="00E92831">
              <w:rPr>
                <w:rFonts w:asciiTheme="majorHAnsi" w:hAnsiTheme="majorHAnsi" w:cstheme="majorHAnsi"/>
                <w:noProof/>
              </w:rPr>
              <w:fldChar w:fldCharType="begin"/>
            </w:r>
            <w:r w:rsidR="009C010A" w:rsidRPr="00E92831">
              <w:rPr>
                <w:rFonts w:asciiTheme="majorHAnsi" w:hAnsiTheme="majorHAnsi" w:cstheme="majorHAnsi"/>
                <w:noProof/>
              </w:rPr>
              <w:instrText xml:space="preserve"> PAGEREF _Toc12647 \h </w:instrText>
            </w:r>
            <w:r w:rsidR="009C010A" w:rsidRPr="00E92831">
              <w:rPr>
                <w:rFonts w:asciiTheme="majorHAnsi" w:hAnsiTheme="majorHAnsi" w:cstheme="majorHAnsi"/>
                <w:noProof/>
              </w:rPr>
            </w:r>
            <w:r w:rsidR="009C010A" w:rsidRPr="00E92831">
              <w:rPr>
                <w:rFonts w:asciiTheme="majorHAnsi" w:hAnsiTheme="majorHAnsi" w:cstheme="majorHAnsi"/>
                <w:noProof/>
              </w:rPr>
              <w:fldChar w:fldCharType="separate"/>
            </w:r>
            <w:r w:rsidR="00E92831" w:rsidRPr="00E92831">
              <w:rPr>
                <w:rFonts w:asciiTheme="majorHAnsi" w:hAnsiTheme="majorHAnsi" w:cstheme="majorHAnsi"/>
                <w:noProof/>
              </w:rPr>
              <w:t>14</w:t>
            </w:r>
            <w:r w:rsidR="009C010A" w:rsidRPr="00E92831">
              <w:rPr>
                <w:rFonts w:asciiTheme="majorHAnsi" w:hAnsiTheme="majorHAnsi" w:cstheme="majorHAnsi"/>
                <w:noProof/>
              </w:rPr>
              <w:fldChar w:fldCharType="end"/>
            </w:r>
          </w:hyperlink>
        </w:p>
        <w:p w14:paraId="1FBEF8D5" w14:textId="0EFC4401" w:rsidR="003D48AE" w:rsidRPr="00E92831" w:rsidRDefault="001F01B0">
          <w:pPr>
            <w:pStyle w:val="TOC2"/>
            <w:tabs>
              <w:tab w:val="right" w:leader="dot" w:pos="8787"/>
            </w:tabs>
            <w:rPr>
              <w:rFonts w:asciiTheme="majorHAnsi" w:hAnsiTheme="majorHAnsi" w:cstheme="majorHAnsi"/>
              <w:noProof/>
            </w:rPr>
          </w:pPr>
          <w:hyperlink w:anchor="_Toc17723" w:history="1">
            <w:r w:rsidR="009C010A" w:rsidRPr="00E92831">
              <w:rPr>
                <w:rFonts w:asciiTheme="majorHAnsi" w:hAnsiTheme="majorHAnsi" w:cstheme="majorHAnsi"/>
                <w:noProof/>
              </w:rPr>
              <w:t xml:space="preserve">5. Αποτελεσματικότητα των κοινωνικών παροχών για την αναπηρία στη μείωση της </w:t>
            </w:r>
            <w:r w:rsidR="001E1CA2" w:rsidRPr="00E92831">
              <w:rPr>
                <w:rFonts w:asciiTheme="majorHAnsi" w:hAnsiTheme="majorHAnsi" w:cstheme="majorHAnsi"/>
                <w:noProof/>
              </w:rPr>
              <w:br/>
            </w:r>
            <w:r w:rsidR="009C010A" w:rsidRPr="00E92831">
              <w:rPr>
                <w:rFonts w:asciiTheme="majorHAnsi" w:hAnsiTheme="majorHAnsi" w:cstheme="majorHAnsi"/>
                <w:noProof/>
              </w:rPr>
              <w:t>φτώχειας των ατόμων με αναπηρία</w:t>
            </w:r>
            <w:r w:rsidR="009C010A" w:rsidRPr="00E92831">
              <w:rPr>
                <w:rFonts w:asciiTheme="majorHAnsi" w:hAnsiTheme="majorHAnsi" w:cstheme="majorHAnsi"/>
                <w:noProof/>
              </w:rPr>
              <w:tab/>
            </w:r>
            <w:r w:rsidR="009C010A" w:rsidRPr="00E92831">
              <w:rPr>
                <w:rFonts w:asciiTheme="majorHAnsi" w:hAnsiTheme="majorHAnsi" w:cstheme="majorHAnsi"/>
                <w:noProof/>
              </w:rPr>
              <w:fldChar w:fldCharType="begin"/>
            </w:r>
            <w:r w:rsidR="009C010A" w:rsidRPr="00E92831">
              <w:rPr>
                <w:rFonts w:asciiTheme="majorHAnsi" w:hAnsiTheme="majorHAnsi" w:cstheme="majorHAnsi"/>
                <w:noProof/>
              </w:rPr>
              <w:instrText xml:space="preserve"> PAGEREF _Toc17723 \h </w:instrText>
            </w:r>
            <w:r w:rsidR="009C010A" w:rsidRPr="00E92831">
              <w:rPr>
                <w:rFonts w:asciiTheme="majorHAnsi" w:hAnsiTheme="majorHAnsi" w:cstheme="majorHAnsi"/>
                <w:noProof/>
              </w:rPr>
            </w:r>
            <w:r w:rsidR="009C010A" w:rsidRPr="00E92831">
              <w:rPr>
                <w:rFonts w:asciiTheme="majorHAnsi" w:hAnsiTheme="majorHAnsi" w:cstheme="majorHAnsi"/>
                <w:noProof/>
              </w:rPr>
              <w:fldChar w:fldCharType="separate"/>
            </w:r>
            <w:r w:rsidR="00E92831" w:rsidRPr="00E92831">
              <w:rPr>
                <w:rFonts w:asciiTheme="majorHAnsi" w:hAnsiTheme="majorHAnsi" w:cstheme="majorHAnsi"/>
                <w:noProof/>
              </w:rPr>
              <w:t>20</w:t>
            </w:r>
            <w:r w:rsidR="009C010A" w:rsidRPr="00E92831">
              <w:rPr>
                <w:rFonts w:asciiTheme="majorHAnsi" w:hAnsiTheme="majorHAnsi" w:cstheme="majorHAnsi"/>
                <w:noProof/>
              </w:rPr>
              <w:fldChar w:fldCharType="end"/>
            </w:r>
          </w:hyperlink>
        </w:p>
        <w:p w14:paraId="7C5CBB0C" w14:textId="77777777" w:rsidR="003D48AE" w:rsidRDefault="009C010A">
          <w:pPr>
            <w:pStyle w:val="TOC1"/>
            <w:rPr>
              <w:lang w:val="el-GR"/>
            </w:rPr>
          </w:pPr>
          <w:r w:rsidRPr="00E92831">
            <w:rPr>
              <w:rFonts w:asciiTheme="majorHAnsi" w:hAnsiTheme="majorHAnsi" w:cstheme="majorHAnsi"/>
              <w:lang w:val="el-GR"/>
            </w:rPr>
            <w:fldChar w:fldCharType="end"/>
          </w:r>
        </w:p>
      </w:sdtContent>
    </w:sdt>
    <w:p w14:paraId="0C80B9FE" w14:textId="77777777" w:rsidR="003D48AE" w:rsidRDefault="009C010A" w:rsidP="001E1CA2">
      <w:pPr>
        <w:spacing w:before="480"/>
        <w:jc w:val="center"/>
        <w:rPr>
          <w:rFonts w:asciiTheme="majorHAnsi" w:eastAsiaTheme="majorEastAsia" w:hAnsiTheme="majorHAnsi" w:cstheme="majorBidi"/>
          <w:color w:val="000000" w:themeColor="text1"/>
          <w:sz w:val="32"/>
          <w:szCs w:val="32"/>
          <w:u w:val="single"/>
        </w:rPr>
      </w:pPr>
      <w:r>
        <w:rPr>
          <w:rFonts w:asciiTheme="majorHAnsi" w:eastAsiaTheme="majorEastAsia" w:hAnsiTheme="majorHAnsi" w:cstheme="majorBidi"/>
          <w:color w:val="000000" w:themeColor="text1"/>
          <w:sz w:val="32"/>
          <w:szCs w:val="32"/>
          <w:u w:val="single"/>
        </w:rPr>
        <w:t>ΓΡΑΦ</w:t>
      </w:r>
      <w:r>
        <w:rPr>
          <w:rFonts w:asciiTheme="majorHAnsi" w:eastAsiaTheme="majorEastAsia" w:hAnsiTheme="majorHAnsi" w:cstheme="majorBidi"/>
          <w:color w:val="000000" w:themeColor="text1"/>
          <w:sz w:val="32"/>
          <w:szCs w:val="32"/>
          <w:u w:val="single"/>
          <w:lang w:val="el-GR"/>
        </w:rPr>
        <w:t>Η</w:t>
      </w:r>
      <w:r>
        <w:rPr>
          <w:rFonts w:asciiTheme="majorHAnsi" w:eastAsiaTheme="majorEastAsia" w:hAnsiTheme="majorHAnsi" w:cstheme="majorBidi"/>
          <w:color w:val="000000" w:themeColor="text1"/>
          <w:sz w:val="32"/>
          <w:szCs w:val="32"/>
          <w:u w:val="single"/>
        </w:rPr>
        <w:t>ΜΑΤΑ</w:t>
      </w:r>
    </w:p>
    <w:p w14:paraId="416BF7DA" w14:textId="33BC7ECF" w:rsidR="003D48AE" w:rsidRPr="00E92831" w:rsidRDefault="009C010A" w:rsidP="001E1CA2">
      <w:pPr>
        <w:pStyle w:val="TableofFigures"/>
        <w:tabs>
          <w:tab w:val="right" w:leader="dot" w:pos="8777"/>
        </w:tabs>
        <w:spacing w:after="120" w:line="240" w:lineRule="auto"/>
        <w:ind w:left="1276" w:hanging="1276"/>
        <w:rPr>
          <w:rFonts w:asciiTheme="majorHAnsi" w:eastAsiaTheme="minorEastAsia" w:hAnsiTheme="majorHAnsi" w:cstheme="majorHAnsi"/>
          <w:noProof/>
          <w:kern w:val="2"/>
          <w:lang w:val="el-GR" w:eastAsia="el-GR"/>
          <w14:ligatures w14:val="standardContextual"/>
        </w:rPr>
      </w:pPr>
      <w:r w:rsidRPr="00E92831">
        <w:rPr>
          <w:rFonts w:asciiTheme="majorHAnsi" w:hAnsiTheme="majorHAnsi" w:cstheme="majorHAnsi"/>
          <w:highlight w:val="yellow"/>
          <w:lang w:val="el-GR"/>
        </w:rPr>
        <w:fldChar w:fldCharType="begin"/>
      </w:r>
      <w:r w:rsidRPr="00E92831">
        <w:rPr>
          <w:rFonts w:asciiTheme="majorHAnsi" w:hAnsiTheme="majorHAnsi" w:cstheme="majorHAnsi"/>
          <w:highlight w:val="yellow"/>
          <w:lang w:val="el-GR"/>
        </w:rPr>
        <w:instrText xml:space="preserve"> TOC \h \z \c "Γράφημα" </w:instrText>
      </w:r>
      <w:r w:rsidRPr="00E92831">
        <w:rPr>
          <w:rFonts w:asciiTheme="majorHAnsi" w:hAnsiTheme="majorHAnsi" w:cstheme="majorHAnsi"/>
          <w:highlight w:val="yellow"/>
          <w:lang w:val="el-GR"/>
        </w:rPr>
        <w:fldChar w:fldCharType="separate"/>
      </w:r>
      <w:hyperlink w:anchor="_Toc201687249" w:history="1">
        <w:r w:rsidRPr="00E92831">
          <w:rPr>
            <w:rStyle w:val="Hyperlink"/>
            <w:rFonts w:asciiTheme="majorHAnsi" w:hAnsiTheme="majorHAnsi" w:cstheme="majorHAnsi"/>
            <w:noProof/>
            <w:lang w:val="el-GR"/>
          </w:rPr>
          <w:t xml:space="preserve">Γράφημα 1: </w:t>
        </w:r>
        <w:r w:rsidR="001E1CA2" w:rsidRPr="00E92831">
          <w:rPr>
            <w:rStyle w:val="Hyperlink"/>
            <w:rFonts w:asciiTheme="majorHAnsi" w:hAnsiTheme="majorHAnsi" w:cstheme="majorHAnsi"/>
            <w:noProof/>
          </w:rPr>
          <w:tab/>
        </w:r>
        <w:r w:rsidRPr="00E92831">
          <w:rPr>
            <w:rStyle w:val="Hyperlink"/>
            <w:rFonts w:asciiTheme="majorHAnsi" w:hAnsiTheme="majorHAnsi" w:cstheme="majorHAnsi"/>
            <w:noProof/>
            <w:lang w:val="el-GR"/>
          </w:rPr>
          <w:t>Σύνολο παροχών Κοινωνικής Προστασίας στην Ελλάδα (σε εκατομμύρια €)</w:t>
        </w:r>
        <w:r w:rsidRPr="00E92831">
          <w:rPr>
            <w:rFonts w:asciiTheme="majorHAnsi" w:hAnsiTheme="majorHAnsi" w:cstheme="majorHAnsi"/>
            <w:noProof/>
          </w:rPr>
          <w:tab/>
        </w:r>
        <w:r w:rsidRPr="00E92831">
          <w:rPr>
            <w:rFonts w:asciiTheme="majorHAnsi" w:hAnsiTheme="majorHAnsi" w:cstheme="majorHAnsi"/>
            <w:noProof/>
          </w:rPr>
          <w:fldChar w:fldCharType="begin"/>
        </w:r>
        <w:r w:rsidRPr="00E92831">
          <w:rPr>
            <w:rFonts w:asciiTheme="majorHAnsi" w:hAnsiTheme="majorHAnsi" w:cstheme="majorHAnsi"/>
            <w:noProof/>
          </w:rPr>
          <w:instrText xml:space="preserve"> PAGEREF _Toc201687249 \h </w:instrText>
        </w:r>
        <w:r w:rsidRPr="00E92831">
          <w:rPr>
            <w:rFonts w:asciiTheme="majorHAnsi" w:hAnsiTheme="majorHAnsi" w:cstheme="majorHAnsi"/>
            <w:noProof/>
          </w:rPr>
        </w:r>
        <w:r w:rsidRPr="00E92831">
          <w:rPr>
            <w:rFonts w:asciiTheme="majorHAnsi" w:hAnsiTheme="majorHAnsi" w:cstheme="majorHAnsi"/>
            <w:noProof/>
          </w:rPr>
          <w:fldChar w:fldCharType="separate"/>
        </w:r>
        <w:r w:rsidR="00E92831" w:rsidRPr="00E92831">
          <w:rPr>
            <w:rFonts w:asciiTheme="majorHAnsi" w:hAnsiTheme="majorHAnsi" w:cstheme="majorHAnsi"/>
            <w:noProof/>
          </w:rPr>
          <w:t>9</w:t>
        </w:r>
        <w:r w:rsidRPr="00E92831">
          <w:rPr>
            <w:rFonts w:asciiTheme="majorHAnsi" w:hAnsiTheme="majorHAnsi" w:cstheme="majorHAnsi"/>
            <w:noProof/>
          </w:rPr>
          <w:fldChar w:fldCharType="end"/>
        </w:r>
      </w:hyperlink>
    </w:p>
    <w:p w14:paraId="661030F9" w14:textId="5F7DC66A" w:rsidR="003D48AE" w:rsidRPr="00E92831" w:rsidRDefault="001F01B0" w:rsidP="001E1CA2">
      <w:pPr>
        <w:pStyle w:val="TableofFigures"/>
        <w:tabs>
          <w:tab w:val="right" w:leader="dot" w:pos="8777"/>
        </w:tabs>
        <w:spacing w:after="120" w:line="240" w:lineRule="auto"/>
        <w:ind w:left="1276" w:hanging="1276"/>
        <w:rPr>
          <w:rFonts w:asciiTheme="majorHAnsi" w:eastAsiaTheme="minorEastAsia" w:hAnsiTheme="majorHAnsi" w:cstheme="majorHAnsi"/>
          <w:noProof/>
          <w:kern w:val="2"/>
          <w:lang w:val="el-GR" w:eastAsia="el-GR"/>
          <w14:ligatures w14:val="standardContextual"/>
        </w:rPr>
      </w:pPr>
      <w:hyperlink w:anchor="_Toc201687250" w:history="1">
        <w:r w:rsidR="009C010A" w:rsidRPr="00E92831">
          <w:rPr>
            <w:rStyle w:val="Hyperlink"/>
            <w:rFonts w:asciiTheme="majorHAnsi" w:hAnsiTheme="majorHAnsi" w:cstheme="majorHAnsi"/>
            <w:noProof/>
            <w:lang w:val="el-GR"/>
          </w:rPr>
          <w:t xml:space="preserve">Γράφημα 2: </w:t>
        </w:r>
        <w:r w:rsidR="001E1CA2" w:rsidRPr="00E92831">
          <w:rPr>
            <w:rStyle w:val="Hyperlink"/>
            <w:rFonts w:asciiTheme="majorHAnsi" w:hAnsiTheme="majorHAnsi" w:cstheme="majorHAnsi"/>
            <w:noProof/>
          </w:rPr>
          <w:tab/>
        </w:r>
        <w:r w:rsidR="009C010A" w:rsidRPr="00E92831">
          <w:rPr>
            <w:rStyle w:val="Hyperlink"/>
            <w:rFonts w:asciiTheme="majorHAnsi" w:hAnsiTheme="majorHAnsi" w:cstheme="majorHAnsi"/>
            <w:noProof/>
            <w:lang w:val="el-GR"/>
          </w:rPr>
          <w:t xml:space="preserve">Κατά Κεφαλήν Δαπάνη για παροχές κοινωνικής προστασίας (Σύνολο) σε </w:t>
        </w:r>
        <w:r w:rsidR="001E1CA2" w:rsidRPr="00E92831">
          <w:rPr>
            <w:rStyle w:val="Hyperlink"/>
            <w:rFonts w:asciiTheme="majorHAnsi" w:hAnsiTheme="majorHAnsi" w:cstheme="majorHAnsi"/>
            <w:noProof/>
          </w:rPr>
          <w:br/>
        </w:r>
        <w:r w:rsidR="009C010A" w:rsidRPr="00E92831">
          <w:rPr>
            <w:rStyle w:val="Hyperlink"/>
            <w:rFonts w:asciiTheme="majorHAnsi" w:hAnsiTheme="majorHAnsi" w:cstheme="majorHAnsi"/>
            <w:noProof/>
            <w:lang w:val="el-GR"/>
          </w:rPr>
          <w:t xml:space="preserve">Μονάδες Αγοραστικής Δύναμης (PURCHASING POWER STANDARD) για το </w:t>
        </w:r>
        <w:r w:rsidR="001E1CA2" w:rsidRPr="00E92831">
          <w:rPr>
            <w:rStyle w:val="Hyperlink"/>
            <w:rFonts w:asciiTheme="majorHAnsi" w:hAnsiTheme="majorHAnsi" w:cstheme="majorHAnsi"/>
            <w:noProof/>
          </w:rPr>
          <w:br/>
        </w:r>
        <w:r w:rsidR="009C010A" w:rsidRPr="00E92831">
          <w:rPr>
            <w:rStyle w:val="Hyperlink"/>
            <w:rFonts w:asciiTheme="majorHAnsi" w:hAnsiTheme="majorHAnsi" w:cstheme="majorHAnsi"/>
            <w:noProof/>
            <w:lang w:val="el-GR"/>
          </w:rPr>
          <w:t>έτος 2022</w:t>
        </w:r>
        <w:r w:rsidR="009C010A" w:rsidRPr="00E92831">
          <w:rPr>
            <w:rFonts w:asciiTheme="majorHAnsi" w:hAnsiTheme="majorHAnsi" w:cstheme="majorHAnsi"/>
            <w:noProof/>
          </w:rPr>
          <w:tab/>
        </w:r>
        <w:r w:rsidR="009C010A" w:rsidRPr="00E92831">
          <w:rPr>
            <w:rFonts w:asciiTheme="majorHAnsi" w:hAnsiTheme="majorHAnsi" w:cstheme="majorHAnsi"/>
            <w:noProof/>
          </w:rPr>
          <w:fldChar w:fldCharType="begin"/>
        </w:r>
        <w:r w:rsidR="009C010A" w:rsidRPr="00E92831">
          <w:rPr>
            <w:rFonts w:asciiTheme="majorHAnsi" w:hAnsiTheme="majorHAnsi" w:cstheme="majorHAnsi"/>
            <w:noProof/>
          </w:rPr>
          <w:instrText xml:space="preserve"> PAGEREF _Toc201687250 \h </w:instrText>
        </w:r>
        <w:r w:rsidR="009C010A" w:rsidRPr="00E92831">
          <w:rPr>
            <w:rFonts w:asciiTheme="majorHAnsi" w:hAnsiTheme="majorHAnsi" w:cstheme="majorHAnsi"/>
            <w:noProof/>
          </w:rPr>
        </w:r>
        <w:r w:rsidR="009C010A" w:rsidRPr="00E92831">
          <w:rPr>
            <w:rFonts w:asciiTheme="majorHAnsi" w:hAnsiTheme="majorHAnsi" w:cstheme="majorHAnsi"/>
            <w:noProof/>
          </w:rPr>
          <w:fldChar w:fldCharType="separate"/>
        </w:r>
        <w:r w:rsidR="00E92831" w:rsidRPr="00E92831">
          <w:rPr>
            <w:rFonts w:asciiTheme="majorHAnsi" w:hAnsiTheme="majorHAnsi" w:cstheme="majorHAnsi"/>
            <w:noProof/>
          </w:rPr>
          <w:t>10</w:t>
        </w:r>
        <w:r w:rsidR="009C010A" w:rsidRPr="00E92831">
          <w:rPr>
            <w:rFonts w:asciiTheme="majorHAnsi" w:hAnsiTheme="majorHAnsi" w:cstheme="majorHAnsi"/>
            <w:noProof/>
          </w:rPr>
          <w:fldChar w:fldCharType="end"/>
        </w:r>
      </w:hyperlink>
    </w:p>
    <w:p w14:paraId="1633A4F0" w14:textId="77BBF459" w:rsidR="003D48AE" w:rsidRPr="00E92831" w:rsidRDefault="001F01B0" w:rsidP="001E1CA2">
      <w:pPr>
        <w:pStyle w:val="TableofFigures"/>
        <w:tabs>
          <w:tab w:val="right" w:leader="dot" w:pos="8777"/>
        </w:tabs>
        <w:spacing w:after="120" w:line="240" w:lineRule="auto"/>
        <w:ind w:left="1276" w:hanging="1276"/>
        <w:rPr>
          <w:rFonts w:asciiTheme="majorHAnsi" w:eastAsiaTheme="minorEastAsia" w:hAnsiTheme="majorHAnsi" w:cstheme="majorHAnsi"/>
          <w:noProof/>
          <w:kern w:val="2"/>
          <w:lang w:val="el-GR" w:eastAsia="el-GR"/>
          <w14:ligatures w14:val="standardContextual"/>
        </w:rPr>
      </w:pPr>
      <w:hyperlink w:anchor="_Toc201687251" w:history="1">
        <w:r w:rsidR="009C010A" w:rsidRPr="00E92831">
          <w:rPr>
            <w:rStyle w:val="Hyperlink"/>
            <w:rFonts w:asciiTheme="majorHAnsi" w:hAnsiTheme="majorHAnsi" w:cstheme="majorHAnsi"/>
            <w:noProof/>
            <w:lang w:val="el-GR"/>
          </w:rPr>
          <w:t xml:space="preserve">Γράφημα 3: </w:t>
        </w:r>
        <w:r w:rsidR="001E1CA2" w:rsidRPr="00E92831">
          <w:rPr>
            <w:rStyle w:val="Hyperlink"/>
            <w:rFonts w:asciiTheme="majorHAnsi" w:hAnsiTheme="majorHAnsi" w:cstheme="majorHAnsi"/>
            <w:noProof/>
          </w:rPr>
          <w:tab/>
        </w:r>
        <w:r w:rsidR="009C010A" w:rsidRPr="00E92831">
          <w:rPr>
            <w:rStyle w:val="Hyperlink"/>
            <w:rFonts w:asciiTheme="majorHAnsi" w:hAnsiTheme="majorHAnsi" w:cstheme="majorHAnsi"/>
            <w:noProof/>
            <w:lang w:val="el-GR"/>
          </w:rPr>
          <w:t xml:space="preserve">Δαπάνες για παροχές κοινωνικής προστασίας ως ποσοστό του ΑΕΠ (2022) </w:t>
        </w:r>
        <w:r w:rsidR="001E1CA2" w:rsidRPr="00E92831">
          <w:rPr>
            <w:rStyle w:val="Hyperlink"/>
            <w:rFonts w:asciiTheme="majorHAnsi" w:hAnsiTheme="majorHAnsi" w:cstheme="majorHAnsi"/>
            <w:noProof/>
          </w:rPr>
          <w:br/>
        </w:r>
        <w:r w:rsidR="009C010A" w:rsidRPr="00E92831">
          <w:rPr>
            <w:rStyle w:val="Hyperlink"/>
            <w:rFonts w:asciiTheme="majorHAnsi" w:hAnsiTheme="majorHAnsi" w:cstheme="majorHAnsi"/>
            <w:noProof/>
            <w:lang w:val="el-GR"/>
          </w:rPr>
          <w:t>στις χώρες της ΕΕ-27</w:t>
        </w:r>
        <w:r w:rsidR="009C010A" w:rsidRPr="00E92831">
          <w:rPr>
            <w:rFonts w:asciiTheme="majorHAnsi" w:hAnsiTheme="majorHAnsi" w:cstheme="majorHAnsi"/>
            <w:noProof/>
          </w:rPr>
          <w:tab/>
        </w:r>
        <w:r w:rsidR="009C010A" w:rsidRPr="00E92831">
          <w:rPr>
            <w:rFonts w:asciiTheme="majorHAnsi" w:hAnsiTheme="majorHAnsi" w:cstheme="majorHAnsi"/>
            <w:noProof/>
          </w:rPr>
          <w:fldChar w:fldCharType="begin"/>
        </w:r>
        <w:r w:rsidR="009C010A" w:rsidRPr="00E92831">
          <w:rPr>
            <w:rFonts w:asciiTheme="majorHAnsi" w:hAnsiTheme="majorHAnsi" w:cstheme="majorHAnsi"/>
            <w:noProof/>
          </w:rPr>
          <w:instrText xml:space="preserve"> PAGEREF _Toc201687251 \h </w:instrText>
        </w:r>
        <w:r w:rsidR="009C010A" w:rsidRPr="00E92831">
          <w:rPr>
            <w:rFonts w:asciiTheme="majorHAnsi" w:hAnsiTheme="majorHAnsi" w:cstheme="majorHAnsi"/>
            <w:noProof/>
          </w:rPr>
        </w:r>
        <w:r w:rsidR="009C010A" w:rsidRPr="00E92831">
          <w:rPr>
            <w:rFonts w:asciiTheme="majorHAnsi" w:hAnsiTheme="majorHAnsi" w:cstheme="majorHAnsi"/>
            <w:noProof/>
          </w:rPr>
          <w:fldChar w:fldCharType="separate"/>
        </w:r>
        <w:r w:rsidR="00E92831" w:rsidRPr="00E92831">
          <w:rPr>
            <w:rFonts w:asciiTheme="majorHAnsi" w:hAnsiTheme="majorHAnsi" w:cstheme="majorHAnsi"/>
            <w:noProof/>
          </w:rPr>
          <w:t>11</w:t>
        </w:r>
        <w:r w:rsidR="009C010A" w:rsidRPr="00E92831">
          <w:rPr>
            <w:rFonts w:asciiTheme="majorHAnsi" w:hAnsiTheme="majorHAnsi" w:cstheme="majorHAnsi"/>
            <w:noProof/>
          </w:rPr>
          <w:fldChar w:fldCharType="end"/>
        </w:r>
      </w:hyperlink>
    </w:p>
    <w:p w14:paraId="564B54EA" w14:textId="4152518A" w:rsidR="003D48AE" w:rsidRPr="00E92831" w:rsidRDefault="001F01B0" w:rsidP="001E1CA2">
      <w:pPr>
        <w:pStyle w:val="TableofFigures"/>
        <w:tabs>
          <w:tab w:val="right" w:leader="dot" w:pos="8777"/>
        </w:tabs>
        <w:spacing w:after="120" w:line="240" w:lineRule="auto"/>
        <w:ind w:left="1276" w:hanging="1276"/>
        <w:rPr>
          <w:rFonts w:asciiTheme="majorHAnsi" w:eastAsiaTheme="minorEastAsia" w:hAnsiTheme="majorHAnsi" w:cstheme="majorHAnsi"/>
          <w:noProof/>
          <w:kern w:val="2"/>
          <w:lang w:val="el-GR" w:eastAsia="el-GR"/>
          <w14:ligatures w14:val="standardContextual"/>
        </w:rPr>
      </w:pPr>
      <w:hyperlink w:anchor="_Toc201687252" w:history="1">
        <w:r w:rsidR="009C010A" w:rsidRPr="00E92831">
          <w:rPr>
            <w:rStyle w:val="Hyperlink"/>
            <w:rFonts w:asciiTheme="majorHAnsi" w:hAnsiTheme="majorHAnsi" w:cstheme="majorHAnsi"/>
            <w:noProof/>
            <w:lang w:val="el-GR"/>
          </w:rPr>
          <w:t xml:space="preserve">Γράφημα 4: </w:t>
        </w:r>
        <w:r w:rsidR="001E1CA2" w:rsidRPr="00E92831">
          <w:rPr>
            <w:rStyle w:val="Hyperlink"/>
            <w:rFonts w:asciiTheme="majorHAnsi" w:hAnsiTheme="majorHAnsi" w:cstheme="majorHAnsi"/>
            <w:noProof/>
          </w:rPr>
          <w:tab/>
        </w:r>
        <w:r w:rsidR="009C010A" w:rsidRPr="00E92831">
          <w:rPr>
            <w:rStyle w:val="Hyperlink"/>
            <w:rFonts w:asciiTheme="majorHAnsi" w:hAnsiTheme="majorHAnsi" w:cstheme="majorHAnsi"/>
            <w:noProof/>
            <w:lang w:val="el-GR"/>
          </w:rPr>
          <w:t xml:space="preserve">Δείκτης Επίδρασης των κοινωνικών μεταβιβάσεων (εξαιρουμένων των </w:t>
        </w:r>
        <w:r w:rsidR="001E1CA2" w:rsidRPr="00E92831">
          <w:rPr>
            <w:rStyle w:val="Hyperlink"/>
            <w:rFonts w:asciiTheme="majorHAnsi" w:hAnsiTheme="majorHAnsi" w:cstheme="majorHAnsi"/>
            <w:noProof/>
          </w:rPr>
          <w:br/>
        </w:r>
        <w:r w:rsidR="009C010A" w:rsidRPr="00E92831">
          <w:rPr>
            <w:rStyle w:val="Hyperlink"/>
            <w:rFonts w:asciiTheme="majorHAnsi" w:hAnsiTheme="majorHAnsi" w:cstheme="majorHAnsi"/>
            <w:noProof/>
            <w:lang w:val="el-GR"/>
          </w:rPr>
          <w:t>συντάξεων) στη μείωση της φτώχειας (2024)</w:t>
        </w:r>
        <w:r w:rsidR="009C010A" w:rsidRPr="00E92831">
          <w:rPr>
            <w:rFonts w:asciiTheme="majorHAnsi" w:hAnsiTheme="majorHAnsi" w:cstheme="majorHAnsi"/>
            <w:noProof/>
          </w:rPr>
          <w:tab/>
        </w:r>
        <w:r w:rsidR="009C010A" w:rsidRPr="00E92831">
          <w:rPr>
            <w:rFonts w:asciiTheme="majorHAnsi" w:hAnsiTheme="majorHAnsi" w:cstheme="majorHAnsi"/>
            <w:noProof/>
          </w:rPr>
          <w:fldChar w:fldCharType="begin"/>
        </w:r>
        <w:r w:rsidR="009C010A" w:rsidRPr="00E92831">
          <w:rPr>
            <w:rFonts w:asciiTheme="majorHAnsi" w:hAnsiTheme="majorHAnsi" w:cstheme="majorHAnsi"/>
            <w:noProof/>
          </w:rPr>
          <w:instrText xml:space="preserve"> PAGEREF _Toc201687252 \h </w:instrText>
        </w:r>
        <w:r w:rsidR="009C010A" w:rsidRPr="00E92831">
          <w:rPr>
            <w:rFonts w:asciiTheme="majorHAnsi" w:hAnsiTheme="majorHAnsi" w:cstheme="majorHAnsi"/>
            <w:noProof/>
          </w:rPr>
        </w:r>
        <w:r w:rsidR="009C010A" w:rsidRPr="00E92831">
          <w:rPr>
            <w:rFonts w:asciiTheme="majorHAnsi" w:hAnsiTheme="majorHAnsi" w:cstheme="majorHAnsi"/>
            <w:noProof/>
          </w:rPr>
          <w:fldChar w:fldCharType="separate"/>
        </w:r>
        <w:r w:rsidR="00E92831" w:rsidRPr="00E92831">
          <w:rPr>
            <w:rFonts w:asciiTheme="majorHAnsi" w:hAnsiTheme="majorHAnsi" w:cstheme="majorHAnsi"/>
            <w:noProof/>
          </w:rPr>
          <w:t>12</w:t>
        </w:r>
        <w:r w:rsidR="009C010A" w:rsidRPr="00E92831">
          <w:rPr>
            <w:rFonts w:asciiTheme="majorHAnsi" w:hAnsiTheme="majorHAnsi" w:cstheme="majorHAnsi"/>
            <w:noProof/>
          </w:rPr>
          <w:fldChar w:fldCharType="end"/>
        </w:r>
      </w:hyperlink>
    </w:p>
    <w:p w14:paraId="23058B06" w14:textId="4F7391FF" w:rsidR="003D48AE" w:rsidRPr="00E92831" w:rsidRDefault="001F01B0" w:rsidP="001E1CA2">
      <w:pPr>
        <w:pStyle w:val="TableofFigures"/>
        <w:tabs>
          <w:tab w:val="right" w:leader="dot" w:pos="8777"/>
        </w:tabs>
        <w:spacing w:after="120" w:line="240" w:lineRule="auto"/>
        <w:ind w:left="1276" w:hanging="1276"/>
        <w:rPr>
          <w:rFonts w:asciiTheme="majorHAnsi" w:eastAsiaTheme="minorEastAsia" w:hAnsiTheme="majorHAnsi" w:cstheme="majorHAnsi"/>
          <w:noProof/>
          <w:kern w:val="2"/>
          <w:lang w:val="el-GR" w:eastAsia="el-GR"/>
          <w14:ligatures w14:val="standardContextual"/>
        </w:rPr>
      </w:pPr>
      <w:hyperlink w:anchor="_Toc201687253" w:history="1">
        <w:r w:rsidR="009C010A" w:rsidRPr="00E92831">
          <w:rPr>
            <w:rStyle w:val="Hyperlink"/>
            <w:rFonts w:asciiTheme="majorHAnsi" w:hAnsiTheme="majorHAnsi" w:cstheme="majorHAnsi"/>
            <w:noProof/>
            <w:lang w:val="el-GR"/>
          </w:rPr>
          <w:t xml:space="preserve">Γράφημα 5: </w:t>
        </w:r>
        <w:r w:rsidR="001E1CA2" w:rsidRPr="00E92831">
          <w:rPr>
            <w:rStyle w:val="Hyperlink"/>
            <w:rFonts w:asciiTheme="majorHAnsi" w:hAnsiTheme="majorHAnsi" w:cstheme="majorHAnsi"/>
            <w:noProof/>
          </w:rPr>
          <w:tab/>
        </w:r>
        <w:r w:rsidR="009C010A" w:rsidRPr="00E92831">
          <w:rPr>
            <w:rStyle w:val="Hyperlink"/>
            <w:rFonts w:asciiTheme="majorHAnsi" w:hAnsiTheme="majorHAnsi" w:cstheme="majorHAnsi"/>
            <w:noProof/>
            <w:lang w:val="el-GR"/>
          </w:rPr>
          <w:t xml:space="preserve">Διαχρονική εξέλιξη δαπανών για παροχές κοινωνικής προστασίας για την </w:t>
        </w:r>
        <w:r w:rsidR="009C427E">
          <w:rPr>
            <w:rStyle w:val="Hyperlink"/>
            <w:rFonts w:asciiTheme="majorHAnsi" w:hAnsiTheme="majorHAnsi" w:cstheme="majorHAnsi"/>
            <w:noProof/>
          </w:rPr>
          <w:br/>
        </w:r>
        <w:r w:rsidR="009C010A" w:rsidRPr="00E92831">
          <w:rPr>
            <w:rStyle w:val="Hyperlink"/>
            <w:rFonts w:asciiTheme="majorHAnsi" w:hAnsiTheme="majorHAnsi" w:cstheme="majorHAnsi"/>
            <w:noProof/>
            <w:lang w:val="el-GR"/>
          </w:rPr>
          <w:t>αναπηρία (σε εκατομμύρια €)</w:t>
        </w:r>
        <w:r w:rsidR="009C010A" w:rsidRPr="00E92831">
          <w:rPr>
            <w:rFonts w:asciiTheme="majorHAnsi" w:hAnsiTheme="majorHAnsi" w:cstheme="majorHAnsi"/>
            <w:noProof/>
          </w:rPr>
          <w:tab/>
        </w:r>
        <w:r w:rsidR="009C010A" w:rsidRPr="00E92831">
          <w:rPr>
            <w:rFonts w:asciiTheme="majorHAnsi" w:hAnsiTheme="majorHAnsi" w:cstheme="majorHAnsi"/>
            <w:noProof/>
          </w:rPr>
          <w:fldChar w:fldCharType="begin"/>
        </w:r>
        <w:r w:rsidR="009C010A" w:rsidRPr="00E92831">
          <w:rPr>
            <w:rFonts w:asciiTheme="majorHAnsi" w:hAnsiTheme="majorHAnsi" w:cstheme="majorHAnsi"/>
            <w:noProof/>
          </w:rPr>
          <w:instrText xml:space="preserve"> PAGEREF _Toc201687253 \h </w:instrText>
        </w:r>
        <w:r w:rsidR="009C010A" w:rsidRPr="00E92831">
          <w:rPr>
            <w:rFonts w:asciiTheme="majorHAnsi" w:hAnsiTheme="majorHAnsi" w:cstheme="majorHAnsi"/>
            <w:noProof/>
          </w:rPr>
        </w:r>
        <w:r w:rsidR="009C010A" w:rsidRPr="00E92831">
          <w:rPr>
            <w:rFonts w:asciiTheme="majorHAnsi" w:hAnsiTheme="majorHAnsi" w:cstheme="majorHAnsi"/>
            <w:noProof/>
          </w:rPr>
          <w:fldChar w:fldCharType="separate"/>
        </w:r>
        <w:r w:rsidR="00E92831" w:rsidRPr="00E92831">
          <w:rPr>
            <w:rFonts w:asciiTheme="majorHAnsi" w:hAnsiTheme="majorHAnsi" w:cstheme="majorHAnsi"/>
            <w:noProof/>
          </w:rPr>
          <w:t>14</w:t>
        </w:r>
        <w:r w:rsidR="009C010A" w:rsidRPr="00E92831">
          <w:rPr>
            <w:rFonts w:asciiTheme="majorHAnsi" w:hAnsiTheme="majorHAnsi" w:cstheme="majorHAnsi"/>
            <w:noProof/>
          </w:rPr>
          <w:fldChar w:fldCharType="end"/>
        </w:r>
      </w:hyperlink>
    </w:p>
    <w:p w14:paraId="26B31BE1" w14:textId="62311E8C" w:rsidR="003D48AE" w:rsidRPr="00E92831" w:rsidRDefault="001F01B0" w:rsidP="001E1CA2">
      <w:pPr>
        <w:pStyle w:val="TableofFigures"/>
        <w:tabs>
          <w:tab w:val="right" w:leader="dot" w:pos="8777"/>
        </w:tabs>
        <w:spacing w:after="120" w:line="240" w:lineRule="auto"/>
        <w:ind w:left="1276" w:hanging="1276"/>
        <w:rPr>
          <w:rFonts w:asciiTheme="majorHAnsi" w:eastAsiaTheme="minorEastAsia" w:hAnsiTheme="majorHAnsi" w:cstheme="majorHAnsi"/>
          <w:noProof/>
          <w:kern w:val="2"/>
          <w:lang w:val="el-GR" w:eastAsia="el-GR"/>
          <w14:ligatures w14:val="standardContextual"/>
        </w:rPr>
      </w:pPr>
      <w:hyperlink w:anchor="_Toc201687254" w:history="1">
        <w:r w:rsidR="009C010A" w:rsidRPr="00E92831">
          <w:rPr>
            <w:rStyle w:val="Hyperlink"/>
            <w:rFonts w:asciiTheme="majorHAnsi" w:hAnsiTheme="majorHAnsi" w:cstheme="majorHAnsi"/>
            <w:noProof/>
            <w:lang w:val="el-GR"/>
          </w:rPr>
          <w:t xml:space="preserve">Γράφημα 6: </w:t>
        </w:r>
        <w:r w:rsidR="001E1CA2" w:rsidRPr="00E92831">
          <w:rPr>
            <w:rStyle w:val="Hyperlink"/>
            <w:rFonts w:asciiTheme="majorHAnsi" w:hAnsiTheme="majorHAnsi" w:cstheme="majorHAnsi"/>
            <w:noProof/>
          </w:rPr>
          <w:tab/>
        </w:r>
        <w:r w:rsidR="009C010A" w:rsidRPr="00E92831">
          <w:rPr>
            <w:rStyle w:val="Hyperlink"/>
            <w:rFonts w:asciiTheme="majorHAnsi" w:hAnsiTheme="majorHAnsi" w:cstheme="majorHAnsi"/>
            <w:noProof/>
            <w:lang w:val="el-GR"/>
          </w:rPr>
          <w:t xml:space="preserve">Παροχές για την «Αναπηρία» ως ποσοστό του συνόλου των παροχών </w:t>
        </w:r>
        <w:r w:rsidR="001E1CA2" w:rsidRPr="00E92831">
          <w:rPr>
            <w:rStyle w:val="Hyperlink"/>
            <w:rFonts w:asciiTheme="majorHAnsi" w:hAnsiTheme="majorHAnsi" w:cstheme="majorHAnsi"/>
            <w:noProof/>
          </w:rPr>
          <w:br/>
        </w:r>
        <w:r w:rsidR="009C010A" w:rsidRPr="00E92831">
          <w:rPr>
            <w:rStyle w:val="Hyperlink"/>
            <w:rFonts w:asciiTheme="majorHAnsi" w:hAnsiTheme="majorHAnsi" w:cstheme="majorHAnsi"/>
            <w:noProof/>
            <w:lang w:val="el-GR"/>
          </w:rPr>
          <w:t>κοινωνικής προστασίας στην Ε.Ε. (2022)</w:t>
        </w:r>
        <w:r w:rsidR="009C010A" w:rsidRPr="00E92831">
          <w:rPr>
            <w:rFonts w:asciiTheme="majorHAnsi" w:hAnsiTheme="majorHAnsi" w:cstheme="majorHAnsi"/>
            <w:noProof/>
          </w:rPr>
          <w:tab/>
        </w:r>
        <w:r w:rsidR="009C010A" w:rsidRPr="00E92831">
          <w:rPr>
            <w:rFonts w:asciiTheme="majorHAnsi" w:hAnsiTheme="majorHAnsi" w:cstheme="majorHAnsi"/>
            <w:noProof/>
          </w:rPr>
          <w:fldChar w:fldCharType="begin"/>
        </w:r>
        <w:r w:rsidR="009C010A" w:rsidRPr="00E92831">
          <w:rPr>
            <w:rFonts w:asciiTheme="majorHAnsi" w:hAnsiTheme="majorHAnsi" w:cstheme="majorHAnsi"/>
            <w:noProof/>
          </w:rPr>
          <w:instrText xml:space="preserve"> PAGEREF _Toc201687254 \h </w:instrText>
        </w:r>
        <w:r w:rsidR="009C010A" w:rsidRPr="00E92831">
          <w:rPr>
            <w:rFonts w:asciiTheme="majorHAnsi" w:hAnsiTheme="majorHAnsi" w:cstheme="majorHAnsi"/>
            <w:noProof/>
          </w:rPr>
        </w:r>
        <w:r w:rsidR="009C010A" w:rsidRPr="00E92831">
          <w:rPr>
            <w:rFonts w:asciiTheme="majorHAnsi" w:hAnsiTheme="majorHAnsi" w:cstheme="majorHAnsi"/>
            <w:noProof/>
          </w:rPr>
          <w:fldChar w:fldCharType="separate"/>
        </w:r>
        <w:r w:rsidR="00E92831" w:rsidRPr="00E92831">
          <w:rPr>
            <w:rFonts w:asciiTheme="majorHAnsi" w:hAnsiTheme="majorHAnsi" w:cstheme="majorHAnsi"/>
            <w:noProof/>
          </w:rPr>
          <w:t>15</w:t>
        </w:r>
        <w:r w:rsidR="009C010A" w:rsidRPr="00E92831">
          <w:rPr>
            <w:rFonts w:asciiTheme="majorHAnsi" w:hAnsiTheme="majorHAnsi" w:cstheme="majorHAnsi"/>
            <w:noProof/>
          </w:rPr>
          <w:fldChar w:fldCharType="end"/>
        </w:r>
      </w:hyperlink>
    </w:p>
    <w:p w14:paraId="40415124" w14:textId="7906ED00" w:rsidR="003D48AE" w:rsidRPr="00E92831" w:rsidRDefault="001F01B0" w:rsidP="001E1CA2">
      <w:pPr>
        <w:pStyle w:val="TableofFigures"/>
        <w:tabs>
          <w:tab w:val="right" w:leader="dot" w:pos="8777"/>
        </w:tabs>
        <w:spacing w:after="120" w:line="240" w:lineRule="auto"/>
        <w:ind w:left="1276" w:hanging="1276"/>
        <w:rPr>
          <w:rFonts w:asciiTheme="majorHAnsi" w:eastAsiaTheme="minorEastAsia" w:hAnsiTheme="majorHAnsi" w:cstheme="majorHAnsi"/>
          <w:noProof/>
          <w:kern w:val="2"/>
          <w:lang w:val="el-GR" w:eastAsia="el-GR"/>
          <w14:ligatures w14:val="standardContextual"/>
        </w:rPr>
      </w:pPr>
      <w:hyperlink w:anchor="_Toc201687255" w:history="1">
        <w:r w:rsidR="009C010A" w:rsidRPr="00E92831">
          <w:rPr>
            <w:rStyle w:val="Hyperlink"/>
            <w:rFonts w:asciiTheme="majorHAnsi" w:hAnsiTheme="majorHAnsi" w:cstheme="majorHAnsi"/>
            <w:noProof/>
            <w:lang w:val="el-GR"/>
          </w:rPr>
          <w:t xml:space="preserve">Γράφημα 7: </w:t>
        </w:r>
        <w:r w:rsidR="001E1CA2" w:rsidRPr="00E92831">
          <w:rPr>
            <w:rStyle w:val="Hyperlink"/>
            <w:rFonts w:asciiTheme="majorHAnsi" w:hAnsiTheme="majorHAnsi" w:cstheme="majorHAnsi"/>
            <w:noProof/>
          </w:rPr>
          <w:tab/>
        </w:r>
        <w:r w:rsidR="009C010A" w:rsidRPr="00E92831">
          <w:rPr>
            <w:rStyle w:val="Hyperlink"/>
            <w:rFonts w:asciiTheme="majorHAnsi" w:hAnsiTheme="majorHAnsi" w:cstheme="majorHAnsi"/>
            <w:noProof/>
            <w:lang w:val="el-GR"/>
          </w:rPr>
          <w:t>Κατά κεφαλήν δαπάνη για παροχές κοινωνικής προστασίας για την αναπηρία σε μονάδες αγοραστικής δύναμης (Purchasing Power Standard) για το έτος 2022</w:t>
        </w:r>
        <w:r w:rsidR="009C010A" w:rsidRPr="00E92831">
          <w:rPr>
            <w:rFonts w:asciiTheme="majorHAnsi" w:hAnsiTheme="majorHAnsi" w:cstheme="majorHAnsi"/>
            <w:noProof/>
          </w:rPr>
          <w:tab/>
        </w:r>
        <w:r w:rsidR="009C010A" w:rsidRPr="00E92831">
          <w:rPr>
            <w:rFonts w:asciiTheme="majorHAnsi" w:hAnsiTheme="majorHAnsi" w:cstheme="majorHAnsi"/>
            <w:noProof/>
          </w:rPr>
          <w:fldChar w:fldCharType="begin"/>
        </w:r>
        <w:r w:rsidR="009C010A" w:rsidRPr="00E92831">
          <w:rPr>
            <w:rFonts w:asciiTheme="majorHAnsi" w:hAnsiTheme="majorHAnsi" w:cstheme="majorHAnsi"/>
            <w:noProof/>
          </w:rPr>
          <w:instrText xml:space="preserve"> PAGEREF _Toc201687255 \h </w:instrText>
        </w:r>
        <w:r w:rsidR="009C010A" w:rsidRPr="00E92831">
          <w:rPr>
            <w:rFonts w:asciiTheme="majorHAnsi" w:hAnsiTheme="majorHAnsi" w:cstheme="majorHAnsi"/>
            <w:noProof/>
          </w:rPr>
        </w:r>
        <w:r w:rsidR="009C010A" w:rsidRPr="00E92831">
          <w:rPr>
            <w:rFonts w:asciiTheme="majorHAnsi" w:hAnsiTheme="majorHAnsi" w:cstheme="majorHAnsi"/>
            <w:noProof/>
          </w:rPr>
          <w:fldChar w:fldCharType="separate"/>
        </w:r>
        <w:r w:rsidR="00E92831" w:rsidRPr="00E92831">
          <w:rPr>
            <w:rFonts w:asciiTheme="majorHAnsi" w:hAnsiTheme="majorHAnsi" w:cstheme="majorHAnsi"/>
            <w:noProof/>
          </w:rPr>
          <w:t>16</w:t>
        </w:r>
        <w:r w:rsidR="009C010A" w:rsidRPr="00E92831">
          <w:rPr>
            <w:rFonts w:asciiTheme="majorHAnsi" w:hAnsiTheme="majorHAnsi" w:cstheme="majorHAnsi"/>
            <w:noProof/>
          </w:rPr>
          <w:fldChar w:fldCharType="end"/>
        </w:r>
      </w:hyperlink>
    </w:p>
    <w:p w14:paraId="24D2BA15" w14:textId="2701114C" w:rsidR="003D48AE" w:rsidRPr="00E92831" w:rsidRDefault="001F01B0" w:rsidP="001E1CA2">
      <w:pPr>
        <w:pStyle w:val="TableofFigures"/>
        <w:tabs>
          <w:tab w:val="right" w:leader="dot" w:pos="8777"/>
        </w:tabs>
        <w:spacing w:after="120" w:line="240" w:lineRule="auto"/>
        <w:ind w:left="1276" w:hanging="1276"/>
        <w:rPr>
          <w:rFonts w:asciiTheme="majorHAnsi" w:eastAsiaTheme="minorEastAsia" w:hAnsiTheme="majorHAnsi" w:cstheme="majorHAnsi"/>
          <w:noProof/>
          <w:kern w:val="2"/>
          <w:lang w:val="el-GR" w:eastAsia="el-GR"/>
          <w14:ligatures w14:val="standardContextual"/>
        </w:rPr>
      </w:pPr>
      <w:hyperlink w:anchor="_Toc201687256" w:history="1">
        <w:r w:rsidR="009C010A" w:rsidRPr="00E92831">
          <w:rPr>
            <w:rStyle w:val="Hyperlink"/>
            <w:rFonts w:asciiTheme="majorHAnsi" w:hAnsiTheme="majorHAnsi" w:cstheme="majorHAnsi"/>
            <w:noProof/>
            <w:lang w:val="el-GR"/>
          </w:rPr>
          <w:t xml:space="preserve">Γράφημα 8: </w:t>
        </w:r>
        <w:r w:rsidR="001E1CA2" w:rsidRPr="00E92831">
          <w:rPr>
            <w:rStyle w:val="Hyperlink"/>
            <w:rFonts w:asciiTheme="majorHAnsi" w:hAnsiTheme="majorHAnsi" w:cstheme="majorHAnsi"/>
            <w:noProof/>
          </w:rPr>
          <w:tab/>
        </w:r>
        <w:r w:rsidR="009C010A" w:rsidRPr="00E92831">
          <w:rPr>
            <w:rStyle w:val="Hyperlink"/>
            <w:rFonts w:asciiTheme="majorHAnsi" w:hAnsiTheme="majorHAnsi" w:cstheme="majorHAnsi"/>
            <w:noProof/>
            <w:lang w:val="el-GR"/>
          </w:rPr>
          <w:t>Δικαιούχοι σύνταξης αναπηρίας στην Ελλάδα (2013-2022)</w:t>
        </w:r>
        <w:r w:rsidR="009C010A" w:rsidRPr="00E92831">
          <w:rPr>
            <w:rFonts w:asciiTheme="majorHAnsi" w:hAnsiTheme="majorHAnsi" w:cstheme="majorHAnsi"/>
            <w:noProof/>
          </w:rPr>
          <w:tab/>
        </w:r>
        <w:r w:rsidR="009C010A" w:rsidRPr="00E92831">
          <w:rPr>
            <w:rFonts w:asciiTheme="majorHAnsi" w:hAnsiTheme="majorHAnsi" w:cstheme="majorHAnsi"/>
            <w:noProof/>
          </w:rPr>
          <w:fldChar w:fldCharType="begin"/>
        </w:r>
        <w:r w:rsidR="009C010A" w:rsidRPr="00E92831">
          <w:rPr>
            <w:rFonts w:asciiTheme="majorHAnsi" w:hAnsiTheme="majorHAnsi" w:cstheme="majorHAnsi"/>
            <w:noProof/>
          </w:rPr>
          <w:instrText xml:space="preserve"> PAGEREF _Toc201687256 \h </w:instrText>
        </w:r>
        <w:r w:rsidR="009C010A" w:rsidRPr="00E92831">
          <w:rPr>
            <w:rFonts w:asciiTheme="majorHAnsi" w:hAnsiTheme="majorHAnsi" w:cstheme="majorHAnsi"/>
            <w:noProof/>
          </w:rPr>
        </w:r>
        <w:r w:rsidR="009C010A" w:rsidRPr="00E92831">
          <w:rPr>
            <w:rFonts w:asciiTheme="majorHAnsi" w:hAnsiTheme="majorHAnsi" w:cstheme="majorHAnsi"/>
            <w:noProof/>
          </w:rPr>
          <w:fldChar w:fldCharType="separate"/>
        </w:r>
        <w:r w:rsidR="00E92831" w:rsidRPr="00E92831">
          <w:rPr>
            <w:rFonts w:asciiTheme="majorHAnsi" w:hAnsiTheme="majorHAnsi" w:cstheme="majorHAnsi"/>
            <w:noProof/>
          </w:rPr>
          <w:t>19</w:t>
        </w:r>
        <w:r w:rsidR="009C010A" w:rsidRPr="00E92831">
          <w:rPr>
            <w:rFonts w:asciiTheme="majorHAnsi" w:hAnsiTheme="majorHAnsi" w:cstheme="majorHAnsi"/>
            <w:noProof/>
          </w:rPr>
          <w:fldChar w:fldCharType="end"/>
        </w:r>
      </w:hyperlink>
    </w:p>
    <w:p w14:paraId="43396F9A" w14:textId="48A5D978" w:rsidR="003D48AE" w:rsidRPr="00E92831" w:rsidRDefault="001F01B0" w:rsidP="001E1CA2">
      <w:pPr>
        <w:pStyle w:val="TableofFigures"/>
        <w:tabs>
          <w:tab w:val="right" w:leader="dot" w:pos="8777"/>
        </w:tabs>
        <w:spacing w:after="120" w:line="240" w:lineRule="auto"/>
        <w:ind w:left="1276" w:hanging="1276"/>
        <w:rPr>
          <w:rFonts w:asciiTheme="majorHAnsi" w:eastAsiaTheme="minorEastAsia" w:hAnsiTheme="majorHAnsi" w:cstheme="majorHAnsi"/>
          <w:noProof/>
          <w:kern w:val="2"/>
          <w:lang w:val="el-GR" w:eastAsia="el-GR"/>
          <w14:ligatures w14:val="standardContextual"/>
        </w:rPr>
      </w:pPr>
      <w:hyperlink w:anchor="_Toc201687257" w:history="1">
        <w:r w:rsidR="009C010A" w:rsidRPr="00E92831">
          <w:rPr>
            <w:rStyle w:val="Hyperlink"/>
            <w:rFonts w:asciiTheme="majorHAnsi" w:hAnsiTheme="majorHAnsi" w:cstheme="majorHAnsi"/>
            <w:noProof/>
            <w:lang w:val="el-GR"/>
          </w:rPr>
          <w:t xml:space="preserve">Γράφημα 9: </w:t>
        </w:r>
        <w:r w:rsidR="001E1CA2" w:rsidRPr="00E92831">
          <w:rPr>
            <w:rStyle w:val="Hyperlink"/>
            <w:rFonts w:asciiTheme="majorHAnsi" w:hAnsiTheme="majorHAnsi" w:cstheme="majorHAnsi"/>
            <w:noProof/>
          </w:rPr>
          <w:tab/>
        </w:r>
        <w:r w:rsidR="009C010A" w:rsidRPr="00E92831">
          <w:rPr>
            <w:rStyle w:val="Hyperlink"/>
            <w:rFonts w:asciiTheme="majorHAnsi" w:hAnsiTheme="majorHAnsi" w:cstheme="majorHAnsi"/>
            <w:noProof/>
            <w:lang w:val="el-GR"/>
          </w:rPr>
          <w:t xml:space="preserve">Επίδραση των κοινωνικών μεταβιβάσεων (συμπεριλαμβανομένων των </w:t>
        </w:r>
        <w:r w:rsidR="001E1CA2" w:rsidRPr="00E92831">
          <w:rPr>
            <w:rStyle w:val="Hyperlink"/>
            <w:rFonts w:asciiTheme="majorHAnsi" w:hAnsiTheme="majorHAnsi" w:cstheme="majorHAnsi"/>
            <w:noProof/>
          </w:rPr>
          <w:br/>
        </w:r>
        <w:r w:rsidR="009C010A" w:rsidRPr="00E92831">
          <w:rPr>
            <w:rStyle w:val="Hyperlink"/>
            <w:rFonts w:asciiTheme="majorHAnsi" w:hAnsiTheme="majorHAnsi" w:cstheme="majorHAnsi"/>
            <w:noProof/>
            <w:lang w:val="el-GR"/>
          </w:rPr>
          <w:t xml:space="preserve">συντάξεων) στη μείωση της φτώχειας των ατόμων με μέτρια και σοβαρή </w:t>
        </w:r>
        <w:r w:rsidR="001E1CA2" w:rsidRPr="00E92831">
          <w:rPr>
            <w:rStyle w:val="Hyperlink"/>
            <w:rFonts w:asciiTheme="majorHAnsi" w:hAnsiTheme="majorHAnsi" w:cstheme="majorHAnsi"/>
            <w:noProof/>
          </w:rPr>
          <w:br/>
        </w:r>
        <w:r w:rsidR="009C010A" w:rsidRPr="00E92831">
          <w:rPr>
            <w:rStyle w:val="Hyperlink"/>
            <w:rFonts w:asciiTheme="majorHAnsi" w:hAnsiTheme="majorHAnsi" w:cstheme="majorHAnsi"/>
            <w:noProof/>
            <w:lang w:val="el-GR"/>
          </w:rPr>
          <w:t>αναπηρία 16-64 ετών (2024)</w:t>
        </w:r>
        <w:r w:rsidR="009C010A" w:rsidRPr="00E92831">
          <w:rPr>
            <w:rFonts w:asciiTheme="majorHAnsi" w:hAnsiTheme="majorHAnsi" w:cstheme="majorHAnsi"/>
            <w:noProof/>
          </w:rPr>
          <w:tab/>
        </w:r>
        <w:r w:rsidR="009C010A" w:rsidRPr="00E92831">
          <w:rPr>
            <w:rFonts w:asciiTheme="majorHAnsi" w:hAnsiTheme="majorHAnsi" w:cstheme="majorHAnsi"/>
            <w:noProof/>
          </w:rPr>
          <w:fldChar w:fldCharType="begin"/>
        </w:r>
        <w:r w:rsidR="009C010A" w:rsidRPr="00E92831">
          <w:rPr>
            <w:rFonts w:asciiTheme="majorHAnsi" w:hAnsiTheme="majorHAnsi" w:cstheme="majorHAnsi"/>
            <w:noProof/>
          </w:rPr>
          <w:instrText xml:space="preserve"> PAGEREF _Toc201687257 \h </w:instrText>
        </w:r>
        <w:r w:rsidR="009C010A" w:rsidRPr="00E92831">
          <w:rPr>
            <w:rFonts w:asciiTheme="majorHAnsi" w:hAnsiTheme="majorHAnsi" w:cstheme="majorHAnsi"/>
            <w:noProof/>
          </w:rPr>
        </w:r>
        <w:r w:rsidR="009C010A" w:rsidRPr="00E92831">
          <w:rPr>
            <w:rFonts w:asciiTheme="majorHAnsi" w:hAnsiTheme="majorHAnsi" w:cstheme="majorHAnsi"/>
            <w:noProof/>
          </w:rPr>
          <w:fldChar w:fldCharType="separate"/>
        </w:r>
        <w:r w:rsidR="00E92831" w:rsidRPr="00E92831">
          <w:rPr>
            <w:rFonts w:asciiTheme="majorHAnsi" w:hAnsiTheme="majorHAnsi" w:cstheme="majorHAnsi"/>
            <w:noProof/>
          </w:rPr>
          <w:t>21</w:t>
        </w:r>
        <w:r w:rsidR="009C010A" w:rsidRPr="00E92831">
          <w:rPr>
            <w:rFonts w:asciiTheme="majorHAnsi" w:hAnsiTheme="majorHAnsi" w:cstheme="majorHAnsi"/>
            <w:noProof/>
          </w:rPr>
          <w:fldChar w:fldCharType="end"/>
        </w:r>
      </w:hyperlink>
    </w:p>
    <w:p w14:paraId="0D7B34B9" w14:textId="77777777" w:rsidR="003D48AE" w:rsidRDefault="009C010A" w:rsidP="001E1CA2">
      <w:pPr>
        <w:spacing w:after="120" w:line="240" w:lineRule="auto"/>
        <w:rPr>
          <w:rFonts w:cstheme="minorHAnsi"/>
          <w:highlight w:val="yellow"/>
          <w:lang w:val="el-GR"/>
        </w:rPr>
      </w:pPr>
      <w:r w:rsidRPr="00E92831">
        <w:rPr>
          <w:rFonts w:asciiTheme="majorHAnsi" w:hAnsiTheme="majorHAnsi" w:cstheme="majorHAnsi"/>
          <w:highlight w:val="yellow"/>
          <w:lang w:val="el-GR"/>
        </w:rPr>
        <w:fldChar w:fldCharType="end"/>
      </w:r>
    </w:p>
    <w:p w14:paraId="4AA26583" w14:textId="77777777" w:rsidR="003D48AE" w:rsidRDefault="009C010A">
      <w:pPr>
        <w:spacing w:after="0" w:line="240" w:lineRule="auto"/>
        <w:rPr>
          <w:rFonts w:cstheme="minorHAnsi"/>
          <w:highlight w:val="yellow"/>
        </w:rPr>
      </w:pPr>
      <w:r>
        <w:rPr>
          <w:rFonts w:cstheme="minorHAnsi"/>
          <w:highlight w:val="yellow"/>
          <w:lang w:val="el-GR"/>
        </w:rPr>
        <w:br w:type="page"/>
      </w:r>
    </w:p>
    <w:p w14:paraId="531D374B" w14:textId="77777777" w:rsidR="003D48AE" w:rsidRDefault="003D48AE">
      <w:pPr>
        <w:spacing w:after="0" w:line="240" w:lineRule="auto"/>
        <w:rPr>
          <w:rFonts w:cstheme="minorHAnsi"/>
          <w:highlight w:val="yellow"/>
          <w:lang w:val="el-GR"/>
        </w:rPr>
      </w:pPr>
    </w:p>
    <w:p w14:paraId="4D38337E" w14:textId="77777777" w:rsidR="002C5C32" w:rsidRDefault="002C5C32" w:rsidP="002C5C32">
      <w:pPr>
        <w:shd w:val="clear" w:color="auto" w:fill="D9D9D9" w:themeFill="background1" w:themeFillShade="D9"/>
        <w:spacing w:after="0" w:line="240" w:lineRule="auto"/>
        <w:jc w:val="center"/>
        <w:rPr>
          <w:rFonts w:cstheme="minorHAnsi"/>
          <w:u w:val="single"/>
          <w:lang w:val="el-GR"/>
        </w:rPr>
      </w:pPr>
    </w:p>
    <w:p w14:paraId="637D9F63" w14:textId="298422CF" w:rsidR="003D48AE" w:rsidRPr="002C5C32" w:rsidRDefault="009C010A" w:rsidP="002C5C32">
      <w:pPr>
        <w:shd w:val="clear" w:color="auto" w:fill="D9D9D9" w:themeFill="background1" w:themeFillShade="D9"/>
        <w:spacing w:line="240" w:lineRule="auto"/>
        <w:jc w:val="center"/>
        <w:rPr>
          <w:rFonts w:cstheme="minorHAnsi"/>
          <w:b/>
          <w:bCs/>
          <w:u w:val="single"/>
          <w:lang w:val="el-GR"/>
        </w:rPr>
      </w:pPr>
      <w:r w:rsidRPr="002C5C32">
        <w:rPr>
          <w:rFonts w:cstheme="minorHAnsi"/>
          <w:b/>
          <w:bCs/>
          <w:u w:val="single"/>
          <w:lang w:val="el-GR"/>
        </w:rPr>
        <w:t>Επεξεργασία και ανάλυση δεδομένων</w:t>
      </w:r>
    </w:p>
    <w:p w14:paraId="0DDFD303" w14:textId="605B69FA" w:rsidR="003D48AE" w:rsidRDefault="009C010A" w:rsidP="002C5C32">
      <w:pPr>
        <w:shd w:val="clear" w:color="auto" w:fill="D9D9D9" w:themeFill="background1" w:themeFillShade="D9"/>
        <w:spacing w:after="0" w:line="240" w:lineRule="auto"/>
        <w:jc w:val="center"/>
        <w:rPr>
          <w:rFonts w:cstheme="minorHAnsi"/>
          <w:i/>
          <w:iCs/>
          <w:sz w:val="21"/>
          <w:szCs w:val="21"/>
          <w:lang w:val="el-GR"/>
        </w:rPr>
      </w:pPr>
      <w:r>
        <w:rPr>
          <w:rFonts w:cstheme="minorHAnsi"/>
          <w:lang w:val="el-GR"/>
        </w:rPr>
        <w:t xml:space="preserve">Φανή </w:t>
      </w:r>
      <w:proofErr w:type="spellStart"/>
      <w:r>
        <w:rPr>
          <w:rFonts w:cstheme="minorHAnsi"/>
          <w:lang w:val="el-GR"/>
        </w:rPr>
        <w:t>Προβή</w:t>
      </w:r>
      <w:proofErr w:type="spellEnd"/>
      <w:r>
        <w:rPr>
          <w:rFonts w:cstheme="minorHAnsi"/>
          <w:lang w:val="el-GR"/>
        </w:rPr>
        <w:t xml:space="preserve">, </w:t>
      </w:r>
      <w:r w:rsidRPr="009C427E">
        <w:rPr>
          <w:rFonts w:cstheme="minorHAnsi"/>
          <w:lang w:val="en-GB"/>
        </w:rPr>
        <w:t>Ma</w:t>
      </w:r>
      <w:r w:rsidRPr="0001190B">
        <w:rPr>
          <w:rFonts w:cstheme="minorHAnsi"/>
          <w:lang w:val="el-GR"/>
        </w:rPr>
        <w:t xml:space="preserve"> </w:t>
      </w:r>
      <w:r w:rsidRPr="009C427E">
        <w:rPr>
          <w:rFonts w:cstheme="minorHAnsi"/>
          <w:lang w:val="en-GB"/>
        </w:rPr>
        <w:t>Social</w:t>
      </w:r>
      <w:r w:rsidRPr="0001190B">
        <w:rPr>
          <w:rFonts w:cstheme="minorHAnsi"/>
          <w:lang w:val="el-GR"/>
        </w:rPr>
        <w:t xml:space="preserve"> </w:t>
      </w:r>
      <w:r w:rsidRPr="009C427E">
        <w:rPr>
          <w:rFonts w:cstheme="minorHAnsi"/>
          <w:lang w:val="en-GB"/>
        </w:rPr>
        <w:t>Research</w:t>
      </w:r>
      <w:r w:rsidR="002C5C32">
        <w:rPr>
          <w:rFonts w:cstheme="minorHAnsi"/>
          <w:lang w:val="el-GR"/>
        </w:rPr>
        <w:br/>
      </w:r>
      <w:r>
        <w:rPr>
          <w:rFonts w:cstheme="minorHAnsi"/>
          <w:i/>
          <w:iCs/>
          <w:sz w:val="21"/>
          <w:szCs w:val="21"/>
          <w:lang w:val="el-GR"/>
        </w:rPr>
        <w:t>Επιστημονική Υπεύθυνη Παρατηρητηρίου Θεμάτων Αναπηρίας / Επιστημονικό Στέλεχος Ε.Σ.Α.μεΑ.</w:t>
      </w:r>
    </w:p>
    <w:p w14:paraId="59311BD1" w14:textId="77777777" w:rsidR="002C5C32" w:rsidRDefault="002C5C32" w:rsidP="002C5C32">
      <w:pPr>
        <w:shd w:val="clear" w:color="auto" w:fill="D9D9D9" w:themeFill="background1" w:themeFillShade="D9"/>
        <w:spacing w:after="480" w:line="240" w:lineRule="auto"/>
        <w:jc w:val="center"/>
        <w:rPr>
          <w:rFonts w:cstheme="minorHAnsi"/>
          <w:i/>
          <w:iCs/>
          <w:sz w:val="21"/>
          <w:szCs w:val="21"/>
          <w:lang w:val="el-GR"/>
        </w:rPr>
      </w:pPr>
    </w:p>
    <w:p w14:paraId="5EAEC446" w14:textId="77777777" w:rsidR="003D48AE" w:rsidRDefault="009C010A">
      <w:pPr>
        <w:spacing w:before="120"/>
        <w:rPr>
          <w:sz w:val="20"/>
          <w:szCs w:val="20"/>
          <w:lang w:val="el-GR"/>
        </w:rPr>
      </w:pPr>
      <w:r>
        <w:rPr>
          <w:noProof/>
          <w:lang w:val="el-GR" w:eastAsia="el-GR"/>
        </w:rPr>
        <w:drawing>
          <wp:anchor distT="0" distB="0" distL="114300" distR="114300" simplePos="0" relativeHeight="251659264" behindDoc="0" locked="0" layoutInCell="1" allowOverlap="1" wp14:anchorId="3A9B2507" wp14:editId="4F13264C">
            <wp:simplePos x="0" y="0"/>
            <wp:positionH relativeFrom="column">
              <wp:posOffset>766445</wp:posOffset>
            </wp:positionH>
            <wp:positionV relativeFrom="paragraph">
              <wp:posOffset>191770</wp:posOffset>
            </wp:positionV>
            <wp:extent cx="914400" cy="914400"/>
            <wp:effectExtent l="0" t="0" r="0" b="0"/>
            <wp:wrapSquare wrapText="bothSides"/>
            <wp:docPr id="1543200339"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00339"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pic:spPr>
                </pic:pic>
              </a:graphicData>
            </a:graphic>
          </wp:anchor>
        </w:drawing>
      </w:r>
    </w:p>
    <w:p w14:paraId="71AC9562" w14:textId="77777777" w:rsidR="003D48AE" w:rsidRDefault="009C010A">
      <w:pPr>
        <w:pBdr>
          <w:top w:val="single" w:sz="4" w:space="1" w:color="auto"/>
        </w:pBdr>
        <w:ind w:left="2835" w:right="423"/>
        <w:rPr>
          <w:sz w:val="20"/>
          <w:szCs w:val="20"/>
          <w:lang w:val="el-GR"/>
        </w:rPr>
      </w:pPr>
      <w:r>
        <w:rPr>
          <w:sz w:val="20"/>
          <w:szCs w:val="20"/>
          <w:lang w:val="el-GR"/>
        </w:rPr>
        <w:t xml:space="preserve">Προσβάσιμο αρχείο </w:t>
      </w:r>
      <w:r>
        <w:rPr>
          <w:sz w:val="20"/>
          <w:szCs w:val="20"/>
          <w:lang w:val="en-GB"/>
        </w:rPr>
        <w:t>Microsoft</w:t>
      </w:r>
      <w:r>
        <w:rPr>
          <w:sz w:val="20"/>
          <w:szCs w:val="20"/>
          <w:lang w:val="el-GR"/>
        </w:rPr>
        <w:t xml:space="preserve"> </w:t>
      </w:r>
      <w:r>
        <w:rPr>
          <w:sz w:val="20"/>
          <w:szCs w:val="20"/>
          <w:lang w:val="en-GB"/>
        </w:rPr>
        <w:t>Word</w:t>
      </w:r>
      <w:r>
        <w:rPr>
          <w:sz w:val="20"/>
          <w:szCs w:val="20"/>
          <w:lang w:val="el-GR"/>
        </w:rPr>
        <w:t xml:space="preserve"> (*.</w:t>
      </w:r>
      <w:r>
        <w:rPr>
          <w:sz w:val="20"/>
          <w:szCs w:val="20"/>
          <w:lang w:val="en-GB"/>
        </w:rPr>
        <w:t>docx</w:t>
      </w:r>
      <w:r>
        <w:rPr>
          <w:sz w:val="20"/>
          <w:szCs w:val="20"/>
          <w:lang w:val="el-GR"/>
        </w:rPr>
        <w:t>)</w:t>
      </w:r>
    </w:p>
    <w:p w14:paraId="04EBB648" w14:textId="77777777" w:rsidR="003D48AE" w:rsidRDefault="009C010A">
      <w:pPr>
        <w:pBdr>
          <w:bottom w:val="single" w:sz="4" w:space="1" w:color="auto"/>
        </w:pBdr>
        <w:ind w:left="2835" w:right="423"/>
        <w:rPr>
          <w:rFonts w:cstheme="minorHAnsi"/>
          <w:lang w:val="el-GR"/>
        </w:rPr>
      </w:pPr>
      <w:r>
        <w:rPr>
          <w:sz w:val="20"/>
          <w:szCs w:val="20"/>
          <w:lang w:val="el-GR"/>
        </w:rPr>
        <w:t xml:space="preserve">Το παρόν αρχείο ελέγχθηκε με το εργαλείο </w:t>
      </w:r>
      <w:r>
        <w:rPr>
          <w:i/>
          <w:sz w:val="20"/>
          <w:szCs w:val="20"/>
          <w:lang w:val="en-GB"/>
        </w:rPr>
        <w:t>Microsoft</w:t>
      </w:r>
      <w:r>
        <w:rPr>
          <w:i/>
          <w:sz w:val="20"/>
          <w:szCs w:val="20"/>
          <w:lang w:val="el-GR"/>
        </w:rPr>
        <w:t xml:space="preserve"> </w:t>
      </w:r>
      <w:r>
        <w:rPr>
          <w:i/>
          <w:sz w:val="20"/>
          <w:szCs w:val="20"/>
          <w:lang w:val="en-GB"/>
        </w:rPr>
        <w:t>Accessibility</w:t>
      </w:r>
      <w:r>
        <w:rPr>
          <w:i/>
          <w:sz w:val="20"/>
          <w:szCs w:val="20"/>
          <w:lang w:val="el-GR"/>
        </w:rPr>
        <w:t xml:space="preserve"> </w:t>
      </w:r>
      <w:r>
        <w:rPr>
          <w:i/>
          <w:sz w:val="20"/>
          <w:szCs w:val="20"/>
          <w:lang w:val="en-GB"/>
        </w:rPr>
        <w:t>Checker</w:t>
      </w:r>
      <w:r>
        <w:rPr>
          <w:i/>
          <w:sz w:val="20"/>
          <w:szCs w:val="20"/>
          <w:lang w:val="el-GR"/>
        </w:rPr>
        <w:t xml:space="preserve"> </w:t>
      </w:r>
      <w:r>
        <w:rPr>
          <w:sz w:val="20"/>
          <w:szCs w:val="20"/>
          <w:lang w:val="el-GR"/>
        </w:rPr>
        <w:t>και δεν βρέθηκαν θέματα προσβασιμότητας. Τα άτομα με αναπηρία δεν θα αντιμετωπίζουν δυσκολίες στην ανάγνωσή του.</w:t>
      </w:r>
    </w:p>
    <w:p w14:paraId="61BCAE5D" w14:textId="77777777" w:rsidR="003D48AE" w:rsidRDefault="003D48AE">
      <w:pPr>
        <w:pStyle w:val="ListParagraph"/>
        <w:ind w:left="0"/>
        <w:jc w:val="both"/>
        <w:rPr>
          <w:rStyle w:val="tlid-translation"/>
          <w:lang w:val="el-GR"/>
        </w:rPr>
      </w:pPr>
    </w:p>
    <w:p w14:paraId="1E7A0732" w14:textId="77777777" w:rsidR="003D48AE" w:rsidRDefault="009C010A">
      <w:pPr>
        <w:spacing w:after="0" w:line="240" w:lineRule="auto"/>
        <w:rPr>
          <w:rFonts w:asciiTheme="majorHAnsi" w:eastAsiaTheme="majorEastAsia" w:hAnsiTheme="majorHAnsi" w:cstheme="majorBidi"/>
          <w:b/>
          <w:bCs/>
          <w:color w:val="000000" w:themeColor="text1"/>
          <w:sz w:val="32"/>
          <w:szCs w:val="32"/>
          <w:u w:val="single"/>
          <w:lang w:val="el-GR"/>
        </w:rPr>
      </w:pPr>
      <w:r>
        <w:rPr>
          <w:b/>
          <w:bCs/>
          <w:color w:val="000000" w:themeColor="text1"/>
          <w:u w:val="single"/>
          <w:lang w:val="el-GR"/>
        </w:rPr>
        <w:br w:type="page"/>
      </w:r>
    </w:p>
    <w:p w14:paraId="4A72C1BC" w14:textId="77777777" w:rsidR="003D48AE" w:rsidRDefault="009C010A" w:rsidP="002C5C32">
      <w:pPr>
        <w:pStyle w:val="Heading1"/>
        <w:numPr>
          <w:ilvl w:val="0"/>
          <w:numId w:val="0"/>
        </w:numPr>
        <w:spacing w:before="600" w:after="360"/>
        <w:jc w:val="center"/>
        <w:rPr>
          <w:b/>
          <w:bCs/>
          <w:color w:val="000000" w:themeColor="text1"/>
          <w:u w:val="single"/>
          <w:lang w:val="el-GR"/>
        </w:rPr>
      </w:pPr>
      <w:bookmarkStart w:id="0" w:name="_Toc21665"/>
      <w:bookmarkStart w:id="1" w:name="_Hlk201660270"/>
      <w:r>
        <w:rPr>
          <w:b/>
          <w:bCs/>
          <w:color w:val="000000" w:themeColor="text1"/>
          <w:u w:val="single"/>
          <w:lang w:val="el-GR"/>
        </w:rPr>
        <w:lastRenderedPageBreak/>
        <w:t>ΕΙΣΑΓΩΓΗ</w:t>
      </w:r>
      <w:bookmarkEnd w:id="0"/>
    </w:p>
    <w:p w14:paraId="3C3FDE35" w14:textId="4442C76C" w:rsidR="003D48AE" w:rsidRDefault="009C010A">
      <w:pPr>
        <w:jc w:val="both"/>
        <w:rPr>
          <w:rStyle w:val="hgkelc"/>
          <w:rFonts w:eastAsia="Times New Roman" w:cstheme="majorHAnsi"/>
          <w:sz w:val="24"/>
          <w:szCs w:val="24"/>
          <w:lang w:val="el-GR" w:eastAsia="el-GR"/>
        </w:rPr>
      </w:pPr>
      <w:r>
        <w:rPr>
          <w:rStyle w:val="hgkelc"/>
          <w:rFonts w:eastAsia="Times New Roman" w:cstheme="majorHAnsi"/>
          <w:sz w:val="24"/>
          <w:szCs w:val="24"/>
          <w:lang w:val="el-GR" w:eastAsia="el-GR"/>
        </w:rPr>
        <w:t>Αντικείμενο του δελτίου είναι η κοινωνική προστασία και οι παροχές κοινωνικής προστασίας προς τα άτομα με αναπηρία στην Ελλάδα και στην Ευρωπαϊκή Ένωση [Ε.Ε. (27)].</w:t>
      </w:r>
    </w:p>
    <w:p w14:paraId="793C5897" w14:textId="50E961B6" w:rsidR="003D48AE" w:rsidRDefault="009C010A">
      <w:pPr>
        <w:jc w:val="both"/>
        <w:rPr>
          <w:rStyle w:val="hgkelc"/>
          <w:rFonts w:eastAsia="Times New Roman" w:cstheme="majorHAnsi"/>
          <w:sz w:val="24"/>
          <w:szCs w:val="24"/>
          <w:lang w:val="el-GR" w:eastAsia="el-GR"/>
        </w:rPr>
      </w:pPr>
      <w:r>
        <w:rPr>
          <w:rStyle w:val="hgkelc"/>
          <w:rFonts w:eastAsia="Times New Roman" w:cstheme="majorHAnsi"/>
          <w:sz w:val="24"/>
          <w:szCs w:val="24"/>
          <w:lang w:val="el-GR" w:eastAsia="el-GR"/>
        </w:rPr>
        <w:t>Ιστορικά στην Ελλάδα, η ανάπτυξη και εξέλιξη του κράτους πρόνοιας ακολούθησε το «</w:t>
      </w:r>
      <w:proofErr w:type="spellStart"/>
      <w:r>
        <w:rPr>
          <w:rStyle w:val="hgkelc"/>
          <w:rFonts w:eastAsia="Times New Roman" w:cstheme="majorHAnsi"/>
          <w:sz w:val="24"/>
          <w:szCs w:val="24"/>
          <w:lang w:val="el-GR" w:eastAsia="el-GR"/>
        </w:rPr>
        <w:t>νοτιοευρωπαϊκό</w:t>
      </w:r>
      <w:proofErr w:type="spellEnd"/>
      <w:r>
        <w:rPr>
          <w:rStyle w:val="hgkelc"/>
          <w:rFonts w:eastAsia="Times New Roman" w:cstheme="majorHAnsi"/>
          <w:sz w:val="24"/>
          <w:szCs w:val="24"/>
          <w:lang w:val="el-GR" w:eastAsia="el-GR"/>
        </w:rPr>
        <w:t xml:space="preserve"> μοντέλο», με βασικά γνωρίσματα: τις</w:t>
      </w:r>
      <w:r w:rsidR="001E1CA2">
        <w:rPr>
          <w:rStyle w:val="hgkelc"/>
          <w:rFonts w:eastAsia="Times New Roman" w:cstheme="majorHAnsi"/>
          <w:sz w:val="24"/>
          <w:szCs w:val="24"/>
          <w:lang w:val="el-GR" w:eastAsia="el-GR"/>
        </w:rPr>
        <w:t xml:space="preserve"> </w:t>
      </w:r>
      <w:r>
        <w:rPr>
          <w:rStyle w:val="hgkelc"/>
          <w:rFonts w:eastAsia="Times New Roman" w:cstheme="majorHAnsi"/>
          <w:sz w:val="24"/>
          <w:szCs w:val="24"/>
          <w:lang w:val="el-GR" w:eastAsia="el-GR"/>
        </w:rPr>
        <w:t>ανισότητες στον καταμερισμό της κοινωνικής προστασίας και την άνιση αντιμετώπιση διαφόρων κοινωνικών ομάδων, την αποσπασματικότητα των παρεμβάσεων κοινωνικής πολιτικής, την έμφαση στις παθητικές πολιτικές, τη γραφειοκρατία και τις υποτυπώδεις κοινωνικές υπηρεσίες / παροχές προς τις ευάλωτες ομάδες. Οι μελέτες των συστημάτων κοινωνικής προστασίας στην Ευρώπη, καταδεικνύουν τη χαμηλή αποτελεσματικότητα των συστημάτων κοινωνικής προστασίας των κρατών του ευρωπαϊκού νότου, αλλά από την άλλη και την αποτυχία του νεοφιλελεύθερου μοντέλου που εφαρμόστηκε σε χώρες όπως η Βρετανία.</w:t>
      </w:r>
    </w:p>
    <w:p w14:paraId="1B1F81AF" w14:textId="2456570A" w:rsidR="003D48AE" w:rsidRDefault="009C010A">
      <w:pPr>
        <w:jc w:val="both"/>
        <w:rPr>
          <w:rStyle w:val="hgkelc"/>
          <w:rFonts w:eastAsia="Times New Roman" w:cstheme="majorHAnsi"/>
          <w:sz w:val="24"/>
          <w:szCs w:val="24"/>
          <w:lang w:val="el-GR" w:eastAsia="el-GR"/>
        </w:rPr>
      </w:pPr>
      <w:r>
        <w:rPr>
          <w:rStyle w:val="hgkelc"/>
          <w:rFonts w:eastAsia="Times New Roman" w:cstheme="majorHAnsi"/>
          <w:sz w:val="24"/>
          <w:szCs w:val="24"/>
          <w:lang w:val="el-GR" w:eastAsia="el-GR"/>
        </w:rPr>
        <w:t xml:space="preserve">Έτσι στην Ελλάδα, ήδη πριν την εκδήλωση της οικονομικής κρίσης, είχε διαπιστωθεί το παράδοξο ότι, ενώ οι δαπάνες για κοινωνική προστασία αυξανόταν (κατά το διάστημα 1998-2008), το ποσοστό φτώχειας στη χώρα παρέμενε στα ίδια επίπεδα. Στη μειωμένη απόδοση των δαπανών κοινωνικής προστασίας στην Ελλάδα πρέπει να λαμβάνεται υπόψη και η διάρθρωση των κοινωνικών μεταβιβάσεων που στην πλειονότητά τους αφορούν στις συντάξεις γήρατος, λόγω της δημογραφικής γήρανσης, καθώς και η αναδιάρθρωση των εργασιακών σχέσεων στο πλαίσιο πολιτικών </w:t>
      </w:r>
      <w:proofErr w:type="spellStart"/>
      <w:r>
        <w:rPr>
          <w:rStyle w:val="hgkelc"/>
          <w:rFonts w:eastAsia="Times New Roman" w:cstheme="majorHAnsi"/>
          <w:sz w:val="24"/>
          <w:szCs w:val="24"/>
          <w:lang w:val="el-GR" w:eastAsia="el-GR"/>
        </w:rPr>
        <w:t>ελαστικοποίησης</w:t>
      </w:r>
      <w:proofErr w:type="spellEnd"/>
      <w:r>
        <w:rPr>
          <w:rStyle w:val="hgkelc"/>
          <w:rFonts w:eastAsia="Times New Roman" w:cstheme="majorHAnsi"/>
          <w:sz w:val="24"/>
          <w:szCs w:val="24"/>
          <w:lang w:val="el-GR" w:eastAsia="el-GR"/>
        </w:rPr>
        <w:t xml:space="preserve"> της εργασίας. Σε αυτό το πλαίσιο, η κοινωνική προστασία των ατόμων με αναπηρία,</w:t>
      </w:r>
      <w:r w:rsidR="001E1CA2">
        <w:rPr>
          <w:rStyle w:val="hgkelc"/>
          <w:rFonts w:eastAsia="Times New Roman" w:cstheme="majorHAnsi"/>
          <w:sz w:val="24"/>
          <w:szCs w:val="24"/>
          <w:lang w:val="el-GR" w:eastAsia="el-GR"/>
        </w:rPr>
        <w:t xml:space="preserve"> </w:t>
      </w:r>
      <w:r>
        <w:rPr>
          <w:rStyle w:val="hgkelc"/>
          <w:rFonts w:eastAsia="Times New Roman" w:cstheme="majorHAnsi"/>
          <w:sz w:val="24"/>
          <w:szCs w:val="24"/>
          <w:lang w:val="el-GR" w:eastAsia="el-GR"/>
        </w:rPr>
        <w:t>δομήθηκε στη βάση του αναχρονιστικού ιατρικού μοντέλου και περιορίστηκε διαχρονικά σε μια μονοδιάστατη προνοιακή / φιλανθρωπική αντίληψη. Απόρροια αυτής της αντίληψης είναι η απουσία δομών και υπηρεσιών που να ανταποκρίνονται στις ανάγκες των ατόμων με αναπηρία και να υποστηρίζουν την ανεξάρτητη διαβίωση στην κοινότητα.</w:t>
      </w:r>
    </w:p>
    <w:p w14:paraId="22BECE8C" w14:textId="14A8E7EE" w:rsidR="003D48AE" w:rsidRDefault="009C010A">
      <w:pPr>
        <w:jc w:val="both"/>
        <w:rPr>
          <w:rStyle w:val="hgkelc"/>
          <w:rFonts w:eastAsia="Times New Roman" w:cstheme="majorHAnsi"/>
          <w:sz w:val="24"/>
          <w:szCs w:val="24"/>
          <w:lang w:val="el-GR" w:eastAsia="el-GR"/>
        </w:rPr>
      </w:pPr>
      <w:r>
        <w:rPr>
          <w:rStyle w:val="hgkelc"/>
          <w:rFonts w:eastAsia="Times New Roman" w:cstheme="majorHAnsi"/>
          <w:sz w:val="24"/>
          <w:szCs w:val="24"/>
          <w:lang w:val="el-GR" w:eastAsia="el-GR"/>
        </w:rPr>
        <w:t>Η ανυπαρξία παροχών σε είδος, στην ελληνική περίπτωση, συνδυάζεται με μια στρεβλή επιδοματική πολιτική που δεν στοχεύει στην κοινωνική ένταξη, αφού στην ουσία τα άτομα με αναπηρία «επιδοτούνται για να παραμένουν στο περιθώριο». Περίτρανη απόδειξη αυτού είναι η εφαρμογή του εκδικητικού μέτρου της διακοπής του επιδόματος αναπηρίας σε περίπτωση απασχόλησης. Η εφαρμογή των μνημονιακών πολιτικών τα προηγούμενα χρόνια οδήγησαν στην αποσάθρωση του συστήματος κοινωνικής προστασίας στη χώρα και στην επιβολή σαρωτικών αλλαγών σε όλο το φάσμα των κοινωνικών παροχών.</w:t>
      </w:r>
      <w:r w:rsidR="001E1CA2">
        <w:rPr>
          <w:rStyle w:val="hgkelc"/>
          <w:rFonts w:eastAsia="Times New Roman" w:cstheme="majorHAnsi"/>
          <w:sz w:val="24"/>
          <w:szCs w:val="24"/>
          <w:lang w:val="el-GR" w:eastAsia="el-GR"/>
        </w:rPr>
        <w:t xml:space="preserve"> </w:t>
      </w:r>
      <w:r>
        <w:rPr>
          <w:rStyle w:val="hgkelc"/>
          <w:rFonts w:eastAsia="Times New Roman" w:cstheme="majorHAnsi"/>
          <w:sz w:val="24"/>
          <w:szCs w:val="24"/>
          <w:lang w:val="el-GR" w:eastAsia="el-GR"/>
        </w:rPr>
        <w:t>Σήμερα, τα πρόσθετα εμπόδια και οι προκλήσεις που απορρέουν από τη νέα συνθήκη των πολλαπλών κρίσεων (πληθωριστική, ενεργειακή, κλιματική, γεωπολιτική), καθιστούν περισσότερο από ποτέ επιτατική την ανάγκη διασφάλισης του δικαιώματος των ατόμων με αναπηρία σε κοινωνική προστασία και ανεκτό επίπεδο διαβίωσης, όπως αυτό κατοχυρώνεται στο Σύνταγμα της χώρας και διευρύνεται με το άρθρο 28 της Σύμβασης των Ηνωμένων Εθνών για τα Δικαιώματα των Ατόμων με Αναπηρίες.</w:t>
      </w:r>
    </w:p>
    <w:p w14:paraId="52009B85" w14:textId="0F8E643D" w:rsidR="003D48AE" w:rsidRDefault="009C010A">
      <w:pPr>
        <w:jc w:val="both"/>
        <w:rPr>
          <w:rStyle w:val="hgkelc"/>
          <w:rFonts w:eastAsia="Times New Roman" w:cstheme="majorHAnsi"/>
          <w:sz w:val="24"/>
          <w:szCs w:val="24"/>
          <w:lang w:val="el-GR" w:eastAsia="el-GR"/>
        </w:rPr>
      </w:pPr>
      <w:r>
        <w:rPr>
          <w:rStyle w:val="hgkelc"/>
          <w:rFonts w:eastAsia="Times New Roman" w:cstheme="majorHAnsi"/>
          <w:sz w:val="24"/>
          <w:szCs w:val="24"/>
          <w:lang w:val="el-GR" w:eastAsia="el-GR"/>
        </w:rPr>
        <w:lastRenderedPageBreak/>
        <w:t>Στο δελτίο, παρουσιάζονται τα τελευταία διαθέσιμα δεδομένα από το Ευρωπαϊκό Σύστημα Ολοκληρωμένων Στατιστικών Κοινωνικής Προστασίας (ESSPROS) σχετικά με τις δαπάνες και τις παροχές κοινωνικής προστασίας, διερευνάται η διαχρονική εξέλιξη αυτών των μεγεθών, και αποτυπώνεται η θέση της χώρας σε σύγκριση με τα υπόλοιπα κράτη της Ευρώπης.</w:t>
      </w:r>
    </w:p>
    <w:p w14:paraId="7C5B2204" w14:textId="17FBDAAA" w:rsidR="003D48AE" w:rsidRDefault="009C010A">
      <w:pPr>
        <w:jc w:val="both"/>
        <w:rPr>
          <w:rStyle w:val="hgkelc"/>
          <w:rFonts w:eastAsia="Times New Roman" w:cstheme="majorHAnsi"/>
          <w:sz w:val="24"/>
          <w:szCs w:val="24"/>
          <w:lang w:val="el-GR" w:eastAsia="el-GR"/>
        </w:rPr>
      </w:pPr>
      <w:r>
        <w:rPr>
          <w:rStyle w:val="hgkelc"/>
          <w:rFonts w:eastAsia="Times New Roman" w:cstheme="majorHAnsi"/>
          <w:sz w:val="24"/>
          <w:szCs w:val="24"/>
          <w:lang w:val="el-GR" w:eastAsia="el-GR"/>
        </w:rPr>
        <w:t xml:space="preserve">Το ESSPROS (European </w:t>
      </w:r>
      <w:proofErr w:type="spellStart"/>
      <w:r>
        <w:rPr>
          <w:rStyle w:val="hgkelc"/>
          <w:rFonts w:eastAsia="Times New Roman" w:cstheme="majorHAnsi"/>
          <w:sz w:val="24"/>
          <w:szCs w:val="24"/>
          <w:lang w:val="el-GR" w:eastAsia="el-GR"/>
        </w:rPr>
        <w:t>System</w:t>
      </w:r>
      <w:proofErr w:type="spellEnd"/>
      <w:r>
        <w:rPr>
          <w:rStyle w:val="hgkelc"/>
          <w:rFonts w:eastAsia="Times New Roman" w:cstheme="majorHAnsi"/>
          <w:sz w:val="24"/>
          <w:szCs w:val="24"/>
          <w:lang w:val="el-GR" w:eastAsia="el-GR"/>
        </w:rPr>
        <w:t xml:space="preserve"> of </w:t>
      </w:r>
      <w:proofErr w:type="spellStart"/>
      <w:r>
        <w:rPr>
          <w:rStyle w:val="hgkelc"/>
          <w:rFonts w:eastAsia="Times New Roman" w:cstheme="majorHAnsi"/>
          <w:sz w:val="24"/>
          <w:szCs w:val="24"/>
          <w:lang w:val="el-GR" w:eastAsia="el-GR"/>
        </w:rPr>
        <w:t>Integrated</w:t>
      </w:r>
      <w:proofErr w:type="spellEnd"/>
      <w:r>
        <w:rPr>
          <w:rStyle w:val="hgkelc"/>
          <w:rFonts w:eastAsia="Times New Roman" w:cstheme="majorHAnsi"/>
          <w:sz w:val="24"/>
          <w:szCs w:val="24"/>
          <w:lang w:val="el-GR" w:eastAsia="el-GR"/>
        </w:rPr>
        <w:t xml:space="preserve"> Social Protection </w:t>
      </w:r>
      <w:proofErr w:type="spellStart"/>
      <w:r>
        <w:rPr>
          <w:rStyle w:val="hgkelc"/>
          <w:rFonts w:eastAsia="Times New Roman" w:cstheme="majorHAnsi"/>
          <w:sz w:val="24"/>
          <w:szCs w:val="24"/>
          <w:lang w:val="el-GR" w:eastAsia="el-GR"/>
        </w:rPr>
        <w:t>Statistics</w:t>
      </w:r>
      <w:proofErr w:type="spellEnd"/>
      <w:r>
        <w:rPr>
          <w:rStyle w:val="hgkelc"/>
          <w:rFonts w:eastAsia="Times New Roman" w:cstheme="majorHAnsi"/>
          <w:sz w:val="24"/>
          <w:szCs w:val="24"/>
          <w:lang w:val="el-GR" w:eastAsia="el-GR"/>
        </w:rPr>
        <w:t xml:space="preserve">) αποτελεί ένα μεθοδολογικό πλαίσιο βασισμένο σε πρότυπα, κοινούς ορισμούς, ταξινομήσεις και κανόνες λογιστικής, το οποίο χρησιμοποιείται για την κατάρτιση συγκρίσιμων στατιστικών για την κοινωνική προστασία στις χώρες της Ε.Ε. </w:t>
      </w:r>
      <w:r>
        <w:rPr>
          <w:rStyle w:val="hgkelc"/>
          <w:rFonts w:eastAsia="Times New Roman" w:cstheme="majorHAnsi"/>
          <w:b/>
          <w:bCs/>
          <w:sz w:val="24"/>
          <w:szCs w:val="24"/>
          <w:lang w:val="el-GR" w:eastAsia="el-GR"/>
        </w:rPr>
        <w:t xml:space="preserve">Το ESSPROS βασίζεται στον ορισμό της κοινωνικής προστασίας ως: το σύνολο των παρεμβάσεων δημόσιων ή ιδιωτικών φορέων που έχουν ως σκοπό να ανακουφίσουν τα νοικοκυριά και τα άτομα από το οικονομικό βάρος ενός καθορισμένου συνόλου κινδύνων ή αναγκών. </w:t>
      </w:r>
      <w:r>
        <w:rPr>
          <w:rStyle w:val="hgkelc"/>
          <w:rFonts w:eastAsia="Times New Roman" w:cstheme="majorHAnsi"/>
          <w:sz w:val="24"/>
          <w:szCs w:val="24"/>
          <w:lang w:val="el-GR" w:eastAsia="el-GR"/>
        </w:rPr>
        <w:t>Οι κίνδυνοι ή ανάγκες ταξινομούνται σε</w:t>
      </w:r>
      <w:r w:rsidR="001E1CA2">
        <w:rPr>
          <w:rStyle w:val="hgkelc"/>
          <w:rFonts w:eastAsia="Times New Roman" w:cstheme="majorHAnsi"/>
          <w:sz w:val="24"/>
          <w:szCs w:val="24"/>
          <w:lang w:val="el-GR" w:eastAsia="el-GR"/>
        </w:rPr>
        <w:t xml:space="preserve"> </w:t>
      </w:r>
      <w:r>
        <w:rPr>
          <w:rStyle w:val="hgkelc"/>
          <w:rFonts w:eastAsia="Times New Roman" w:cstheme="majorHAnsi"/>
          <w:sz w:val="24"/>
          <w:szCs w:val="24"/>
          <w:lang w:val="el-GR" w:eastAsia="el-GR"/>
        </w:rPr>
        <w:t>8 τομείς / λειτουργίες: την ασθένεια, την αναπηρία, το γήρας, τη χηρεία, την οικογένεια / τέκνα, την ανεργία, τη στέγαση και τον κοινωνικό αποκλεισμό. Οι κοινωνικές παροχές</w:t>
      </w:r>
      <w:r w:rsidR="001E1CA2">
        <w:rPr>
          <w:rStyle w:val="hgkelc"/>
          <w:rFonts w:eastAsia="Times New Roman" w:cstheme="majorHAnsi"/>
          <w:sz w:val="24"/>
          <w:szCs w:val="24"/>
          <w:lang w:val="el-GR" w:eastAsia="el-GR"/>
        </w:rPr>
        <w:t xml:space="preserve"> </w:t>
      </w:r>
      <w:r>
        <w:rPr>
          <w:rStyle w:val="hgkelc"/>
          <w:rFonts w:eastAsia="Times New Roman" w:cstheme="majorHAnsi"/>
          <w:sz w:val="24"/>
          <w:szCs w:val="24"/>
          <w:lang w:val="el-GR" w:eastAsia="el-GR"/>
        </w:rPr>
        <w:t>περιλαμβάνουν παροχές τόσο σε χρήμα όσο και σε είδος.</w:t>
      </w:r>
    </w:p>
    <w:p w14:paraId="4F34F873" w14:textId="34006E26" w:rsidR="003D48AE" w:rsidRDefault="009C010A">
      <w:pPr>
        <w:jc w:val="both"/>
        <w:rPr>
          <w:rStyle w:val="hgkelc"/>
          <w:rFonts w:eastAsia="Times New Roman" w:cstheme="majorHAnsi"/>
          <w:sz w:val="24"/>
          <w:szCs w:val="24"/>
          <w:lang w:val="el-GR" w:eastAsia="el-GR"/>
        </w:rPr>
      </w:pPr>
      <w:r>
        <w:rPr>
          <w:rStyle w:val="hgkelc"/>
          <w:rFonts w:eastAsia="Times New Roman" w:cstheme="majorHAnsi"/>
          <w:sz w:val="24"/>
          <w:szCs w:val="24"/>
          <w:lang w:val="el-GR" w:eastAsia="el-GR"/>
        </w:rPr>
        <w:t>Ειδικότερα, στις παροχές για την κατηγορία της αναπηρίας, συνυπολογίζονται:</w:t>
      </w:r>
      <w:r w:rsidR="001E1CA2">
        <w:rPr>
          <w:rStyle w:val="hgkelc"/>
          <w:rFonts w:eastAsia="Times New Roman" w:cstheme="majorHAnsi"/>
          <w:sz w:val="24"/>
          <w:szCs w:val="24"/>
          <w:lang w:val="el-GR" w:eastAsia="el-GR"/>
        </w:rPr>
        <w:t xml:space="preserve"> </w:t>
      </w:r>
      <w:r>
        <w:rPr>
          <w:rStyle w:val="hgkelc"/>
          <w:rFonts w:eastAsia="Times New Roman" w:cstheme="majorHAnsi"/>
          <w:sz w:val="24"/>
          <w:szCs w:val="24"/>
          <w:lang w:val="el-GR" w:eastAsia="el-GR"/>
        </w:rPr>
        <w:t>α) παροχές που εξασφαλίζουν εισόδημα σε άτομα τα οποία δεν έχουν συμπληρώσει ακόμη το όριο ηλικίας συνταξιοδότησης που προβλέπεται από τον νόμο και δεν έχουν την ικανότητα να εκτελέσουν αμειβόμενη εργασία εξαιτίας σωματικής ή ψυχικής βλάβης, β) παροχές που χορηγούν υπηρεσίες αποκατάστασης που απαιτούνται από τη φύση της συγκεκριμένης αναπηρίας και τέλος, γ) παροχές που χορηγούν αγαθά και υπηρεσίες εκτός της ιατρικής μέριμνας σε άτομα με αναπηρία. Στη λειτουργία</w:t>
      </w:r>
      <w:r w:rsidR="001E1CA2">
        <w:rPr>
          <w:rStyle w:val="hgkelc"/>
          <w:rFonts w:eastAsia="Times New Roman" w:cstheme="majorHAnsi"/>
          <w:sz w:val="24"/>
          <w:szCs w:val="24"/>
          <w:lang w:val="el-GR" w:eastAsia="el-GR"/>
        </w:rPr>
        <w:t xml:space="preserve"> </w:t>
      </w:r>
      <w:r>
        <w:rPr>
          <w:rStyle w:val="hgkelc"/>
          <w:rFonts w:eastAsia="Times New Roman" w:cstheme="majorHAnsi"/>
          <w:sz w:val="24"/>
          <w:szCs w:val="24"/>
          <w:lang w:val="el-GR" w:eastAsia="el-GR"/>
        </w:rPr>
        <w:t>«ασθένεια» περιλαμβάνονται όλες οι παροχές σε χρήμα που αντισταθμίζουν εξ ολοκλήρου ή εν μέρει την απώλεια εισοδήματος εξαιτίας της προσωρινής αδυναμίας του ατόμου προς εργασία λόγω ασθένειας ή τραυματισμού (επιδόματα ασθενείας), καθώς και οι παροχές κάλυψης τους κόστους της υγειονομικής περίθαλψης που χορηγείται στο πλαίσιο της κοινωνικής προστασίας / κοινωνικής ασφάλισης</w:t>
      </w:r>
      <w:r w:rsidR="002C5C32">
        <w:rPr>
          <w:rStyle w:val="FootnoteReference"/>
          <w:rFonts w:eastAsia="Times New Roman" w:cstheme="majorHAnsi"/>
          <w:sz w:val="24"/>
          <w:szCs w:val="24"/>
          <w:lang w:val="el-GR" w:eastAsia="el-GR"/>
        </w:rPr>
        <w:footnoteReference w:id="1"/>
      </w:r>
      <w:r>
        <w:rPr>
          <w:rStyle w:val="hgkelc"/>
          <w:rFonts w:eastAsia="Times New Roman" w:cstheme="majorHAnsi"/>
          <w:sz w:val="24"/>
          <w:szCs w:val="24"/>
          <w:lang w:val="el-GR" w:eastAsia="el-GR"/>
        </w:rPr>
        <w:t>.</w:t>
      </w:r>
    </w:p>
    <w:p w14:paraId="42403CA7" w14:textId="1F55DEE5" w:rsidR="002C5C32" w:rsidRDefault="002C5C32">
      <w:pPr>
        <w:spacing w:after="0" w:line="240" w:lineRule="auto"/>
        <w:rPr>
          <w:lang w:val="el-GR"/>
        </w:rPr>
      </w:pPr>
      <w:r>
        <w:rPr>
          <w:lang w:val="el-GR"/>
        </w:rPr>
        <w:br w:type="page"/>
      </w:r>
    </w:p>
    <w:p w14:paraId="3563B4C0" w14:textId="77777777" w:rsidR="003D48AE" w:rsidRDefault="009C010A" w:rsidP="00717ABE">
      <w:pPr>
        <w:pStyle w:val="Heading1"/>
        <w:numPr>
          <w:ilvl w:val="0"/>
          <w:numId w:val="0"/>
        </w:numPr>
        <w:spacing w:before="600" w:after="360"/>
        <w:jc w:val="center"/>
        <w:rPr>
          <w:b/>
          <w:bCs/>
          <w:color w:val="000000" w:themeColor="text1"/>
          <w:u w:val="single"/>
          <w:lang w:val="el-GR"/>
        </w:rPr>
      </w:pPr>
      <w:bookmarkStart w:id="2" w:name="_Toc16838"/>
      <w:bookmarkEnd w:id="1"/>
      <w:r>
        <w:rPr>
          <w:b/>
          <w:bCs/>
          <w:color w:val="000000" w:themeColor="text1"/>
          <w:u w:val="single"/>
          <w:lang w:val="el-GR"/>
        </w:rPr>
        <w:lastRenderedPageBreak/>
        <w:t>ΒΑΣΙΚΑ ΕΥΡΥΜΑΤΑ</w:t>
      </w:r>
      <w:bookmarkEnd w:id="2"/>
    </w:p>
    <w:p w14:paraId="4D19FAAC" w14:textId="0C0C9C2D" w:rsidR="003D48AE" w:rsidRDefault="009C010A" w:rsidP="002C5C32">
      <w:pPr>
        <w:spacing w:before="240" w:after="80"/>
        <w:jc w:val="both"/>
        <w:rPr>
          <w:b/>
          <w:bCs/>
          <w:sz w:val="24"/>
          <w:szCs w:val="24"/>
          <w:lang w:val="el-GR"/>
        </w:rPr>
      </w:pPr>
      <w:r>
        <w:rPr>
          <w:b/>
          <w:bCs/>
          <w:sz w:val="24"/>
          <w:szCs w:val="24"/>
          <w:lang w:val="el-GR"/>
        </w:rPr>
        <w:t>Για τη συνολική δαπάνη για παροχές κοινωνικής προστασίας, τα στοιχεία του συστήματος ESSPROS καταδεικνύουν ότι:</w:t>
      </w:r>
    </w:p>
    <w:p w14:paraId="78B278EA" w14:textId="3B109216" w:rsidR="003D48AE" w:rsidRPr="002C5C32" w:rsidRDefault="009C010A" w:rsidP="002C5C32">
      <w:pPr>
        <w:pStyle w:val="ListParagraph"/>
        <w:numPr>
          <w:ilvl w:val="0"/>
          <w:numId w:val="3"/>
        </w:numPr>
        <w:spacing w:after="80"/>
        <w:ind w:left="357" w:hanging="357"/>
        <w:contextualSpacing w:val="0"/>
        <w:jc w:val="both"/>
        <w:rPr>
          <w:sz w:val="24"/>
          <w:szCs w:val="24"/>
          <w:lang w:val="el-GR"/>
        </w:rPr>
      </w:pPr>
      <w:r w:rsidRPr="002C5C32">
        <w:rPr>
          <w:sz w:val="24"/>
          <w:szCs w:val="24"/>
          <w:lang w:val="el-GR"/>
        </w:rPr>
        <w:t>Οι συνολικές δαπάνες για παροχές κοινωνικής προστασίας στην Ελλάδα ανήλθαν το 2022 σε 49.614 εκατομμύρια ευρώ, αντιπροσωπεύοντας</w:t>
      </w:r>
      <w:r w:rsidR="001E1CA2" w:rsidRPr="002C5C32">
        <w:rPr>
          <w:sz w:val="24"/>
          <w:szCs w:val="24"/>
          <w:lang w:val="el-GR"/>
        </w:rPr>
        <w:t xml:space="preserve"> </w:t>
      </w:r>
      <w:r w:rsidRPr="002C5C32">
        <w:rPr>
          <w:sz w:val="24"/>
          <w:szCs w:val="24"/>
          <w:lang w:val="el-GR"/>
        </w:rPr>
        <w:t>το 24,1% του ελληνικού ΑΕΠ (Ε</w:t>
      </w:r>
      <w:r w:rsidR="002C5C32">
        <w:rPr>
          <w:sz w:val="24"/>
          <w:szCs w:val="24"/>
          <w:lang w:val="el-GR"/>
        </w:rPr>
        <w:t>.</w:t>
      </w:r>
      <w:r w:rsidRPr="002C5C32">
        <w:rPr>
          <w:sz w:val="24"/>
          <w:szCs w:val="24"/>
          <w:lang w:val="el-GR"/>
        </w:rPr>
        <w:t>Ε</w:t>
      </w:r>
      <w:r w:rsidR="002C5C32">
        <w:rPr>
          <w:sz w:val="24"/>
          <w:szCs w:val="24"/>
          <w:lang w:val="el-GR"/>
        </w:rPr>
        <w:t>.</w:t>
      </w:r>
      <w:r w:rsidRPr="002C5C32">
        <w:rPr>
          <w:sz w:val="24"/>
          <w:szCs w:val="24"/>
          <w:lang w:val="el-GR"/>
        </w:rPr>
        <w:t>-27: 27,9%).</w:t>
      </w:r>
    </w:p>
    <w:p w14:paraId="71D5A071" w14:textId="44345044" w:rsidR="003D48AE" w:rsidRPr="002C5C32" w:rsidRDefault="009C010A" w:rsidP="002C5C32">
      <w:pPr>
        <w:pStyle w:val="ListParagraph"/>
        <w:numPr>
          <w:ilvl w:val="0"/>
          <w:numId w:val="3"/>
        </w:numPr>
        <w:spacing w:after="80"/>
        <w:ind w:left="357" w:hanging="357"/>
        <w:contextualSpacing w:val="0"/>
        <w:jc w:val="both"/>
        <w:rPr>
          <w:sz w:val="24"/>
          <w:szCs w:val="24"/>
          <w:lang w:val="el-GR"/>
        </w:rPr>
      </w:pPr>
      <w:r w:rsidRPr="002C5C32">
        <w:rPr>
          <w:sz w:val="24"/>
          <w:szCs w:val="24"/>
          <w:lang w:val="el-GR"/>
        </w:rPr>
        <w:t>Οι συνολικές δαπάνες για παροχές κοινωνικής προστασίας καταγράφουν μια συνεχόμενη πτωτική πορεία το διάστημα 2012 -2017, ενώ από το 2018 μέχρι το 2022 καταγράφεται μερική ανάκαμψη, με σωρευτική αύξηση της τάξεως του 11%.</w:t>
      </w:r>
    </w:p>
    <w:p w14:paraId="2B78FD92" w14:textId="5AD0156E" w:rsidR="003D48AE" w:rsidRPr="002C5C32" w:rsidRDefault="009C010A" w:rsidP="002C5C32">
      <w:pPr>
        <w:pStyle w:val="ListParagraph"/>
        <w:numPr>
          <w:ilvl w:val="0"/>
          <w:numId w:val="3"/>
        </w:numPr>
        <w:spacing w:after="80"/>
        <w:ind w:left="357" w:hanging="357"/>
        <w:contextualSpacing w:val="0"/>
        <w:jc w:val="both"/>
        <w:rPr>
          <w:sz w:val="24"/>
          <w:szCs w:val="24"/>
          <w:lang w:val="el-GR"/>
        </w:rPr>
      </w:pPr>
      <w:r w:rsidRPr="002C5C32">
        <w:rPr>
          <w:sz w:val="24"/>
          <w:szCs w:val="24"/>
          <w:lang w:val="el-GR"/>
        </w:rPr>
        <w:t>Η κατά κεφαλή εθνική δαπάνη για παροχές κοινωνικής προστασίας σε Μονάδες Αγοραστικής Δύνα</w:t>
      </w:r>
      <w:r w:rsidR="006F55C3" w:rsidRPr="002C5C32">
        <w:rPr>
          <w:sz w:val="24"/>
          <w:szCs w:val="24"/>
          <w:lang w:val="el-GR"/>
        </w:rPr>
        <w:t xml:space="preserve">μης (ΜΑΔ) ανέρχεται στη χώρα σε </w:t>
      </w:r>
      <w:r w:rsidRPr="002C5C32">
        <w:rPr>
          <w:sz w:val="24"/>
          <w:szCs w:val="24"/>
          <w:lang w:val="el-GR"/>
        </w:rPr>
        <w:t>5.696,94, όντας κατά 43% χαμηλότερη από τον μέσο όρο της Ε.Ε.-27 (10.013).</w:t>
      </w:r>
    </w:p>
    <w:p w14:paraId="5BA4A0E1" w14:textId="5FE1A9B6" w:rsidR="003D48AE" w:rsidRPr="002C5C32" w:rsidRDefault="009C010A" w:rsidP="002C5C32">
      <w:pPr>
        <w:pStyle w:val="ListParagraph"/>
        <w:numPr>
          <w:ilvl w:val="0"/>
          <w:numId w:val="3"/>
        </w:numPr>
        <w:spacing w:after="80"/>
        <w:ind w:left="357" w:hanging="357"/>
        <w:contextualSpacing w:val="0"/>
        <w:jc w:val="both"/>
        <w:rPr>
          <w:sz w:val="24"/>
          <w:szCs w:val="24"/>
          <w:lang w:val="el-GR"/>
        </w:rPr>
      </w:pPr>
      <w:r w:rsidRPr="002C5C32">
        <w:rPr>
          <w:sz w:val="24"/>
          <w:szCs w:val="24"/>
          <w:lang w:val="el-GR"/>
        </w:rPr>
        <w:t>Το 2024, η</w:t>
      </w:r>
      <w:r w:rsidR="001E1CA2" w:rsidRPr="002C5C32">
        <w:rPr>
          <w:sz w:val="24"/>
          <w:szCs w:val="24"/>
          <w:lang w:val="el-GR"/>
        </w:rPr>
        <w:t xml:space="preserve"> </w:t>
      </w:r>
      <w:r w:rsidRPr="002C5C32">
        <w:rPr>
          <w:sz w:val="24"/>
          <w:szCs w:val="24"/>
          <w:lang w:val="el-GR"/>
        </w:rPr>
        <w:t>Ελλάδα καταγράφει τη χαμηλότερη τιμή στον δείκτη «Επίδραση των κοινωνικών μεταβιβάσεων (εξαιρουμένων των συντάξεων) στη μείωση της φτώχειας» που υπολογίστηκε σε 16,6, όταν σε επίπεδο Ε</w:t>
      </w:r>
      <w:r w:rsidR="002C5C32">
        <w:rPr>
          <w:sz w:val="24"/>
          <w:szCs w:val="24"/>
          <w:lang w:val="el-GR"/>
        </w:rPr>
        <w:t>.</w:t>
      </w:r>
      <w:r w:rsidRPr="002C5C32">
        <w:rPr>
          <w:sz w:val="24"/>
          <w:szCs w:val="24"/>
          <w:lang w:val="el-GR"/>
        </w:rPr>
        <w:t>Ε</w:t>
      </w:r>
      <w:r w:rsidR="002C5C32">
        <w:rPr>
          <w:sz w:val="24"/>
          <w:szCs w:val="24"/>
          <w:lang w:val="el-GR"/>
        </w:rPr>
        <w:t>.</w:t>
      </w:r>
      <w:r w:rsidRPr="002C5C32">
        <w:rPr>
          <w:sz w:val="24"/>
          <w:szCs w:val="24"/>
          <w:lang w:val="el-GR"/>
        </w:rPr>
        <w:t xml:space="preserve"> των 27 καταγράφεται τιμή υπερδιπλάσια, που ανέρχεται σε 34,4.</w:t>
      </w:r>
    </w:p>
    <w:p w14:paraId="55BCC595" w14:textId="6A7BECB2" w:rsidR="003D48AE" w:rsidRPr="002C5C32" w:rsidRDefault="009C010A" w:rsidP="002C5C32">
      <w:pPr>
        <w:pStyle w:val="ListParagraph"/>
        <w:numPr>
          <w:ilvl w:val="0"/>
          <w:numId w:val="3"/>
        </w:numPr>
        <w:spacing w:after="80"/>
        <w:ind w:left="357" w:hanging="357"/>
        <w:contextualSpacing w:val="0"/>
        <w:jc w:val="both"/>
        <w:rPr>
          <w:sz w:val="24"/>
          <w:szCs w:val="24"/>
          <w:lang w:val="el-GR"/>
        </w:rPr>
      </w:pPr>
      <w:r w:rsidRPr="002C5C32">
        <w:rPr>
          <w:sz w:val="24"/>
          <w:szCs w:val="24"/>
          <w:lang w:val="el-GR"/>
        </w:rPr>
        <w:t>Το 51,8% της συνολικής δαπάνης αφορά στην προστασία του γήρατος (δηλαδή σε συντάξεις γήρατος), ποσοστό το οποίο είναι το υψηλότερο μεταξύ των χωρών της Ευρώπης (Ε</w:t>
      </w:r>
      <w:r w:rsidR="002C5C32">
        <w:rPr>
          <w:sz w:val="24"/>
          <w:szCs w:val="24"/>
          <w:lang w:val="el-GR"/>
        </w:rPr>
        <w:t>.</w:t>
      </w:r>
      <w:r w:rsidRPr="002C5C32">
        <w:rPr>
          <w:sz w:val="24"/>
          <w:szCs w:val="24"/>
          <w:lang w:val="el-GR"/>
        </w:rPr>
        <w:t>Ε</w:t>
      </w:r>
      <w:r w:rsidR="002C5C32">
        <w:rPr>
          <w:sz w:val="24"/>
          <w:szCs w:val="24"/>
          <w:lang w:val="el-GR"/>
        </w:rPr>
        <w:t>.</w:t>
      </w:r>
      <w:r w:rsidRPr="002C5C32">
        <w:rPr>
          <w:sz w:val="24"/>
          <w:szCs w:val="24"/>
          <w:lang w:val="el-GR"/>
        </w:rPr>
        <w:t>-27: 40,65%). Το 22,9% των δαπανών για παροχές κοινωνικής προστασίας δαπανήθηκε για την προστασία της ασθένειας, το 9,9% για την προστασία της χηρείας και το 5,6% αφορά σε κοινωνικές παροχές για την οικογένεια.</w:t>
      </w:r>
    </w:p>
    <w:p w14:paraId="45F4C9E8" w14:textId="456B2BB4" w:rsidR="003D48AE" w:rsidRPr="002C5C32" w:rsidRDefault="009C010A" w:rsidP="002C5C32">
      <w:pPr>
        <w:pStyle w:val="ListParagraph"/>
        <w:numPr>
          <w:ilvl w:val="0"/>
          <w:numId w:val="3"/>
        </w:numPr>
        <w:spacing w:after="80"/>
        <w:ind w:left="357" w:hanging="357"/>
        <w:contextualSpacing w:val="0"/>
        <w:jc w:val="both"/>
        <w:rPr>
          <w:sz w:val="24"/>
          <w:szCs w:val="24"/>
          <w:lang w:val="el-GR"/>
        </w:rPr>
      </w:pPr>
      <w:r w:rsidRPr="002C5C32">
        <w:rPr>
          <w:sz w:val="24"/>
          <w:szCs w:val="24"/>
          <w:lang w:val="el-GR"/>
        </w:rPr>
        <w:t>Οι δαπάνες για κοινωνικές παροχές για την «Αναπηρία» ανέρχονται σε 1.901 εκατ. Ευρώ, καταλαμβάνοντας μόλις το 3,8% των δαπανών κοινωνικής προστασίας (δεύτερο χαμηλότερο ποσοστό στην Ε</w:t>
      </w:r>
      <w:r w:rsidR="002C5C32">
        <w:rPr>
          <w:sz w:val="24"/>
          <w:szCs w:val="24"/>
          <w:lang w:val="el-GR"/>
        </w:rPr>
        <w:t>.</w:t>
      </w:r>
      <w:r w:rsidRPr="002C5C32">
        <w:rPr>
          <w:sz w:val="24"/>
          <w:szCs w:val="24"/>
          <w:lang w:val="el-GR"/>
        </w:rPr>
        <w:t>Ε</w:t>
      </w:r>
      <w:r w:rsidR="002C5C32">
        <w:rPr>
          <w:sz w:val="24"/>
          <w:szCs w:val="24"/>
          <w:lang w:val="el-GR"/>
        </w:rPr>
        <w:t>.</w:t>
      </w:r>
      <w:r w:rsidRPr="002C5C32">
        <w:rPr>
          <w:sz w:val="24"/>
          <w:szCs w:val="24"/>
          <w:lang w:val="el-GR"/>
        </w:rPr>
        <w:t>-27), όταν ο μέσος όρος της Ε.Ε.</w:t>
      </w:r>
      <w:r w:rsidR="002C5C32">
        <w:rPr>
          <w:sz w:val="24"/>
          <w:szCs w:val="24"/>
          <w:lang w:val="el-GR"/>
        </w:rPr>
        <w:t xml:space="preserve"> </w:t>
      </w:r>
      <w:r w:rsidRPr="002C5C32">
        <w:rPr>
          <w:sz w:val="24"/>
          <w:szCs w:val="24"/>
          <w:lang w:val="el-GR"/>
        </w:rPr>
        <w:t>(27) ανερχόταν στο 7%.</w:t>
      </w:r>
    </w:p>
    <w:p w14:paraId="5AF2AEE2" w14:textId="5BD4EAAD" w:rsidR="003D48AE" w:rsidRDefault="009C010A" w:rsidP="002C5C32">
      <w:pPr>
        <w:spacing w:before="240" w:after="80"/>
        <w:jc w:val="both"/>
        <w:rPr>
          <w:b/>
          <w:bCs/>
          <w:sz w:val="24"/>
          <w:szCs w:val="24"/>
          <w:lang w:val="el-GR"/>
        </w:rPr>
      </w:pPr>
      <w:r>
        <w:rPr>
          <w:b/>
          <w:bCs/>
          <w:sz w:val="24"/>
          <w:szCs w:val="24"/>
          <w:lang w:val="el-GR"/>
        </w:rPr>
        <w:t>Ειδικότερα, για τις δαπάνες κοινωνικής προστασίας για την αναπηρία, τα στοιχεία δείχνουν ότι:</w:t>
      </w:r>
    </w:p>
    <w:p w14:paraId="2B2BF9A2" w14:textId="758B973E" w:rsidR="003D48AE" w:rsidRPr="002C5C32" w:rsidRDefault="009C010A" w:rsidP="002C5C32">
      <w:pPr>
        <w:pStyle w:val="ListParagraph"/>
        <w:numPr>
          <w:ilvl w:val="0"/>
          <w:numId w:val="3"/>
        </w:numPr>
        <w:spacing w:after="80"/>
        <w:ind w:left="357" w:hanging="357"/>
        <w:contextualSpacing w:val="0"/>
        <w:jc w:val="both"/>
        <w:rPr>
          <w:sz w:val="24"/>
          <w:szCs w:val="24"/>
          <w:lang w:val="el-GR"/>
        </w:rPr>
      </w:pPr>
      <w:r w:rsidRPr="002C5C32">
        <w:rPr>
          <w:sz w:val="24"/>
          <w:szCs w:val="24"/>
          <w:lang w:val="el-GR"/>
        </w:rPr>
        <w:t xml:space="preserve">Οι δαπάνες προστασίας της αναπηρίας κατά τη διάρκεια της οικονομικής κρίσης και των μνημονίων υπέστησαν τεράστια περικοπή. Το διάστημα 2012 έως 2015, οι δαπάνες </w:t>
      </w:r>
      <w:proofErr w:type="spellStart"/>
      <w:r w:rsidRPr="002C5C32">
        <w:rPr>
          <w:sz w:val="24"/>
          <w:szCs w:val="24"/>
          <w:lang w:val="el-GR"/>
        </w:rPr>
        <w:t>περικόπηκαν</w:t>
      </w:r>
      <w:proofErr w:type="spellEnd"/>
      <w:r w:rsidRPr="002C5C32">
        <w:rPr>
          <w:sz w:val="24"/>
          <w:szCs w:val="24"/>
          <w:lang w:val="el-GR"/>
        </w:rPr>
        <w:t xml:space="preserve"> σε ποσοστό 42%, ενώ έκτοτε παραμένουν μέχρι και το 2022 σε παρόμοια, εξαιρετικά χαμηλά επίπεδα.</w:t>
      </w:r>
    </w:p>
    <w:p w14:paraId="5114740C" w14:textId="1B11B7BC" w:rsidR="003D48AE" w:rsidRPr="002C5C32" w:rsidRDefault="009C010A" w:rsidP="002C5C32">
      <w:pPr>
        <w:pStyle w:val="ListParagraph"/>
        <w:numPr>
          <w:ilvl w:val="0"/>
          <w:numId w:val="3"/>
        </w:numPr>
        <w:spacing w:after="80"/>
        <w:ind w:left="357" w:hanging="357"/>
        <w:contextualSpacing w:val="0"/>
        <w:jc w:val="both"/>
        <w:rPr>
          <w:sz w:val="24"/>
          <w:szCs w:val="24"/>
          <w:lang w:val="el-GR"/>
        </w:rPr>
      </w:pPr>
      <w:r w:rsidRPr="002C5C32">
        <w:rPr>
          <w:sz w:val="24"/>
          <w:szCs w:val="24"/>
          <w:lang w:val="el-GR"/>
        </w:rPr>
        <w:t>Η «Κατά κεφαλήν δαπάνη για παροχές κοινωνικής προστασίας για την αναπηρία σε μονάδες αγοραστικής δύναμης» επιβεβαιώνει επίσης τη γενική εικόνα, αφού στην Ελλάδα βρίσκεται το 2022 στο ιδιαίτερα χαμηλό επίπεδο των 215,81 (ΜΑΔ) ανά κάτοικο (προτελευταία μετά την Μάλτα), που αντιστοιχεί σε λιγότερο από το 1/3 της ευρωπαϊκής δαπάνης (Ε</w:t>
      </w:r>
      <w:r w:rsidR="002C5C32">
        <w:rPr>
          <w:sz w:val="24"/>
          <w:szCs w:val="24"/>
          <w:lang w:val="el-GR"/>
        </w:rPr>
        <w:t>.</w:t>
      </w:r>
      <w:r w:rsidRPr="002C5C32">
        <w:rPr>
          <w:sz w:val="24"/>
          <w:szCs w:val="24"/>
          <w:lang w:val="el-GR"/>
        </w:rPr>
        <w:t>Ε</w:t>
      </w:r>
      <w:r w:rsidR="002C5C32">
        <w:rPr>
          <w:sz w:val="24"/>
          <w:szCs w:val="24"/>
          <w:lang w:val="el-GR"/>
        </w:rPr>
        <w:t>.</w:t>
      </w:r>
      <w:r w:rsidRPr="002C5C32">
        <w:rPr>
          <w:sz w:val="24"/>
          <w:szCs w:val="24"/>
          <w:lang w:val="el-GR"/>
        </w:rPr>
        <w:t>-27: 672,44).</w:t>
      </w:r>
    </w:p>
    <w:p w14:paraId="18B4D30B" w14:textId="6C1AC1D1" w:rsidR="003D48AE" w:rsidRPr="002C5C32" w:rsidRDefault="009C010A" w:rsidP="002C5C32">
      <w:pPr>
        <w:pStyle w:val="ListParagraph"/>
        <w:numPr>
          <w:ilvl w:val="0"/>
          <w:numId w:val="3"/>
        </w:numPr>
        <w:spacing w:after="80"/>
        <w:ind w:left="357" w:hanging="357"/>
        <w:contextualSpacing w:val="0"/>
        <w:jc w:val="both"/>
        <w:rPr>
          <w:sz w:val="24"/>
          <w:szCs w:val="24"/>
          <w:lang w:val="el-GR"/>
        </w:rPr>
      </w:pPr>
      <w:r w:rsidRPr="002C5C32">
        <w:rPr>
          <w:sz w:val="24"/>
          <w:szCs w:val="24"/>
          <w:lang w:val="el-GR"/>
        </w:rPr>
        <w:lastRenderedPageBreak/>
        <w:t xml:space="preserve">Μέχρι και το έτος 2022 για το οποίο διαθέτουμε τα αναλυτικά δεδομένα, οι δαπάνες κοινωνικής προστασίας για την αναπηρία αφορούσαν σχεδόν αποκλειστικά σε περιοδικές παροχές σε χρήμα και ειδικότερα, σε συντάξεις αναπηρίας (47% της δαπάνης) και σε αναπηρικά επιδόματα (48,7% της δαπάνης). Επιβεβαιώνεται δηλαδή ότι, οι παροχές σε επίπεδο υπηρεσιών υποστήριξης είναι ιδιαίτερα περιορισμένες στη χώρα, και η πρόνοια, μέχρι και το 2022, ήταν σχεδόν ανύπαρκτη σε ότι αφορά ζητήματα στέγασης, βοήθειας σε καθημερινές δραστηριότητες, αποκατάστασης / </w:t>
      </w:r>
      <w:proofErr w:type="spellStart"/>
      <w:r w:rsidRPr="002C5C32">
        <w:rPr>
          <w:sz w:val="24"/>
          <w:szCs w:val="24"/>
          <w:lang w:val="el-GR"/>
        </w:rPr>
        <w:t>επαναποκατάστασης</w:t>
      </w:r>
      <w:proofErr w:type="spellEnd"/>
      <w:r w:rsidRPr="002C5C32">
        <w:rPr>
          <w:sz w:val="24"/>
          <w:szCs w:val="24"/>
          <w:lang w:val="el-GR"/>
        </w:rPr>
        <w:t>.</w:t>
      </w:r>
    </w:p>
    <w:p w14:paraId="6C1108F0" w14:textId="61B85762" w:rsidR="003D48AE" w:rsidRPr="002C5C32" w:rsidRDefault="009C010A" w:rsidP="002C5C32">
      <w:pPr>
        <w:pStyle w:val="ListParagraph"/>
        <w:numPr>
          <w:ilvl w:val="0"/>
          <w:numId w:val="3"/>
        </w:numPr>
        <w:spacing w:after="80"/>
        <w:ind w:left="357" w:hanging="357"/>
        <w:contextualSpacing w:val="0"/>
        <w:jc w:val="both"/>
        <w:rPr>
          <w:sz w:val="24"/>
          <w:szCs w:val="24"/>
          <w:lang w:val="el-GR"/>
        </w:rPr>
      </w:pPr>
      <w:r w:rsidRPr="002C5C32">
        <w:rPr>
          <w:sz w:val="24"/>
          <w:szCs w:val="24"/>
          <w:lang w:val="el-GR"/>
        </w:rPr>
        <w:t>Το πλήθος των δικαιούχων αναπηρικής σύνταξης καταγράφει συνεχόμενη μείωση από το 2015. Συνολικά κατά το διάστημα 2015-2022 καταγράφονται 26.870 λιγότεροι δικαιούχοι, δηλαδή σημειώνεται μείωση της τάξεως του 20%.</w:t>
      </w:r>
    </w:p>
    <w:p w14:paraId="6490C503" w14:textId="15D1D5A3" w:rsidR="003D48AE" w:rsidRPr="002C5C32" w:rsidRDefault="009C010A" w:rsidP="002C5C32">
      <w:pPr>
        <w:pStyle w:val="ListParagraph"/>
        <w:numPr>
          <w:ilvl w:val="0"/>
          <w:numId w:val="3"/>
        </w:numPr>
        <w:spacing w:after="80"/>
        <w:ind w:left="357" w:hanging="357"/>
        <w:contextualSpacing w:val="0"/>
        <w:jc w:val="both"/>
        <w:rPr>
          <w:sz w:val="24"/>
          <w:szCs w:val="24"/>
          <w:lang w:val="el-GR"/>
        </w:rPr>
      </w:pPr>
      <w:r w:rsidRPr="002C5C32">
        <w:rPr>
          <w:sz w:val="24"/>
          <w:szCs w:val="24"/>
          <w:lang w:val="el-GR"/>
        </w:rPr>
        <w:t>Η επίδραση των κοινωνικών μεταβιβάσεων (συμπεριλαμβανομένων των συντάξεων) στη μείωση της φτώχειας των ατόμων με μέτρια και σοβαρή αναπηρία 16-64 ετών για το 2024 φέρνει την Ελλάδα πάλι στη τελευταία θέση,</w:t>
      </w:r>
      <w:r w:rsidR="001E1CA2" w:rsidRPr="002C5C32">
        <w:rPr>
          <w:sz w:val="24"/>
          <w:szCs w:val="24"/>
          <w:lang w:val="el-GR"/>
        </w:rPr>
        <w:t xml:space="preserve"> </w:t>
      </w:r>
      <w:r w:rsidRPr="002C5C32">
        <w:rPr>
          <w:sz w:val="24"/>
          <w:szCs w:val="24"/>
          <w:lang w:val="el-GR"/>
        </w:rPr>
        <w:t>καταγράφοντας τ</w:t>
      </w:r>
      <w:r w:rsidR="001E1CA2" w:rsidRPr="002C5C32">
        <w:rPr>
          <w:sz w:val="24"/>
          <w:szCs w:val="24"/>
          <w:lang w:val="el-GR"/>
        </w:rPr>
        <w:t>η</w:t>
      </w:r>
      <w:r w:rsidRPr="002C5C32">
        <w:rPr>
          <w:sz w:val="24"/>
          <w:szCs w:val="24"/>
          <w:lang w:val="el-GR"/>
        </w:rPr>
        <w:t xml:space="preserve"> χειρότερη επίδοση στον συγκεκριμένο δείκτη. Ειδικότερα,</w:t>
      </w:r>
      <w:r w:rsidR="001E1CA2" w:rsidRPr="002C5C32">
        <w:rPr>
          <w:sz w:val="24"/>
          <w:szCs w:val="24"/>
          <w:lang w:val="el-GR"/>
        </w:rPr>
        <w:t xml:space="preserve"> </w:t>
      </w:r>
      <w:r w:rsidRPr="002C5C32">
        <w:rPr>
          <w:sz w:val="24"/>
          <w:szCs w:val="24"/>
          <w:lang w:val="el-GR"/>
        </w:rPr>
        <w:t>μετά τις κοινωνικές μεταβιβάσεις το ποσοστό φτώχειας και κοινωνικού αποκλεισμού των ατόμων με αναπηρία 16-64 ετών μειώνεται μόλις κατά 5,3 μονάδες, καταλήγοντας να είναι ένα από τα δύο υψηλότερα στην Ευρώπη (Ποσοστό κινδύνου φτώχειας ή/και κοινωνικού αποκλεισμού: Ελλάδα: 48,3%</w:t>
      </w:r>
      <w:r w:rsidR="001E1CA2" w:rsidRPr="0001190B">
        <w:rPr>
          <w:sz w:val="24"/>
          <w:szCs w:val="24"/>
          <w:lang w:val="el-GR"/>
        </w:rPr>
        <w:t xml:space="preserve"> </w:t>
      </w:r>
      <w:r w:rsidRPr="002C5C32">
        <w:rPr>
          <w:sz w:val="24"/>
          <w:szCs w:val="24"/>
          <w:lang w:val="el-GR"/>
        </w:rPr>
        <w:t>/</w:t>
      </w:r>
      <w:r w:rsidR="001E1CA2" w:rsidRPr="002C5C32">
        <w:rPr>
          <w:sz w:val="24"/>
          <w:szCs w:val="24"/>
          <w:lang w:val="el-GR"/>
        </w:rPr>
        <w:t xml:space="preserve"> </w:t>
      </w:r>
      <w:r w:rsidRPr="002C5C32">
        <w:rPr>
          <w:sz w:val="24"/>
          <w:szCs w:val="24"/>
          <w:lang w:val="el-GR"/>
        </w:rPr>
        <w:t>Ρουμανία: 48,4%).</w:t>
      </w:r>
    </w:p>
    <w:p w14:paraId="60692268" w14:textId="2DFD96E6" w:rsidR="002C5C32" w:rsidRDefault="002C5C32">
      <w:pPr>
        <w:spacing w:after="0" w:line="240" w:lineRule="auto"/>
        <w:rPr>
          <w:sz w:val="24"/>
          <w:szCs w:val="24"/>
          <w:lang w:val="el-GR"/>
        </w:rPr>
      </w:pPr>
      <w:r>
        <w:rPr>
          <w:sz w:val="24"/>
          <w:szCs w:val="24"/>
          <w:lang w:val="el-GR"/>
        </w:rPr>
        <w:br w:type="page"/>
      </w:r>
    </w:p>
    <w:bookmarkStart w:id="3" w:name="_Toc23670"/>
    <w:p w14:paraId="746E13BA" w14:textId="32BBB05C" w:rsidR="003D48AE" w:rsidRDefault="00717ABE" w:rsidP="00717ABE">
      <w:pPr>
        <w:pStyle w:val="Heading1"/>
        <w:numPr>
          <w:ilvl w:val="0"/>
          <w:numId w:val="0"/>
        </w:numPr>
        <w:spacing w:before="600" w:after="480"/>
        <w:jc w:val="center"/>
        <w:rPr>
          <w:b/>
          <w:bCs/>
          <w:color w:val="000000" w:themeColor="text1"/>
          <w:u w:val="single"/>
          <w:lang w:val="el-GR"/>
        </w:rPr>
      </w:pPr>
      <w:r>
        <w:rPr>
          <w:b/>
          <w:bCs/>
          <w:noProof/>
          <w:sz w:val="30"/>
          <w:szCs w:val="30"/>
          <w:lang w:val="el-GR" w:eastAsia="el-GR"/>
        </w:rPr>
        <w:lastRenderedPageBreak/>
        <mc:AlternateContent>
          <mc:Choice Requires="wps">
            <w:drawing>
              <wp:anchor distT="0" distB="0" distL="114300" distR="114300" simplePos="0" relativeHeight="251661312" behindDoc="1" locked="0" layoutInCell="1" allowOverlap="1" wp14:anchorId="6087F89A" wp14:editId="4FFF4377">
                <wp:simplePos x="0" y="0"/>
                <wp:positionH relativeFrom="column">
                  <wp:posOffset>8255</wp:posOffset>
                </wp:positionH>
                <wp:positionV relativeFrom="paragraph">
                  <wp:posOffset>481330</wp:posOffset>
                </wp:positionV>
                <wp:extent cx="5490845" cy="7032396"/>
                <wp:effectExtent l="0" t="0" r="14605" b="16510"/>
                <wp:wrapNone/>
                <wp:docPr id="742776722" name="Rectangle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5490845" cy="7032396"/>
                        </a:xfrm>
                        <a:prstGeom prst="rect">
                          <a:avLst/>
                        </a:prstGeom>
                        <a:solidFill>
                          <a:schemeClr val="accent3">
                            <a:lumMod val="20000"/>
                            <a:lumOff val="80000"/>
                          </a:schemeClr>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564D3F" id="Rectangle 1" o:spid="_x0000_s1026" alt="&quot;&quot;" style="position:absolute;margin-left:.65pt;margin-top:37.9pt;width:432.35pt;height:553.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" fillcolor="#ededed [662]" strokecolor="#0070c0" strokeweight="1pt"/>
            </w:pict>
          </mc:Fallback>
        </mc:AlternateContent>
      </w:r>
      <w:r w:rsidR="009C010A">
        <w:rPr>
          <w:b/>
          <w:bCs/>
          <w:color w:val="000000" w:themeColor="text1"/>
          <w:u w:val="single"/>
          <w:lang w:val="el-GR"/>
        </w:rPr>
        <w:t>ΒΑΣΙΚΑ ΣΥΜΠΕΡΑΣΜΑΤΑ</w:t>
      </w:r>
      <w:bookmarkEnd w:id="3"/>
    </w:p>
    <w:p w14:paraId="75517612" w14:textId="63AE59E6" w:rsidR="00717ABE" w:rsidRDefault="00717ABE" w:rsidP="00CB42EB">
      <w:pPr>
        <w:ind w:left="255" w:right="312"/>
        <w:jc w:val="both"/>
        <w:rPr>
          <w:lang w:val="el-GR"/>
        </w:rPr>
      </w:pPr>
      <w:r>
        <w:rPr>
          <w:lang w:val="el-GR"/>
        </w:rPr>
        <w:t>Δυστυχώς, οι δαπάνες για την κοινωνική προστασία, υπό το πρίσμα των πολιτικών της τελευταίας δεκαπενταετίας, αντιμετωπίστηκαν ως δημοσιονομικό φορτίο και όχι ως μέρος της λύσης για έξοδο από την κρίση. Η συρρίκνωση του κοινωνικού κράτους, που έλαβε χώρα με περιστολή του ¼ των δαπανών κοινωνικής προστασίας το διάστημα 2009-2017, βασίστηκε κυρίως σε μυθεύματα, που ήθελαν την Ελλάδα να δαπανά πολλά σε αυτόν τον τομέα, ενώ η σύγκριση των πραγματικών δεδομένων στο επίπεδο των χωρών της Ε.Ε. αποκαλύπτει το ανυπόστατο αυτών των αιτιάσεων. Παρότι από το 2017 καταγράφεται σταθερή μικρή ανάκαμψη των συνολικών δαπανών για κοινωνική προστασία, αυτή δεν επαρκεί, ενώ ταυτόχρονα δεν αποτυπώνεται κατ’ ελάχιστο στις δαπάνες για την αναπηρία. Οι παροχές για την αναπηρία, με όποιον δείκτη και αν μετρηθούν, κατατάσσουν τη χώρα μας σταθερά στις τελευταίες θέσεις της Ευρώπης.</w:t>
      </w:r>
    </w:p>
    <w:p w14:paraId="512B7ADD" w14:textId="03F45A15" w:rsidR="00717ABE" w:rsidRDefault="00717ABE" w:rsidP="00CB42EB">
      <w:pPr>
        <w:ind w:left="255" w:right="312"/>
        <w:jc w:val="both"/>
        <w:rPr>
          <w:lang w:val="el-GR"/>
        </w:rPr>
      </w:pPr>
      <w:r>
        <w:rPr>
          <w:lang w:val="el-GR"/>
        </w:rPr>
        <w:t>Ωστόσο ιδιαίτερα σημαντικό εύρημα που καταδεικνύει τις παθογένειες του συστήματος κοινωνικής προστασίας, αλλά και ειδικότερα σε ότι αφορά την αναπηρία, είναι η μικρή επίδραση που ασκούν οι υφιστάμενες κοινωνικές μεταβιβάσεις στην εξάλειψη της φτώχειας και ιδιαίτερα της φτώχειας των ατόμων με αναπηρία στις παραγωγικές ηλικίες. Αυτό το εύρημα επιβεβαιώνει τον στρεβλό και ελλειμματικό χαρακτήρα της κοινωνικής προστασίας στην Ελλάδα, την αποσπασματικότητα των παροχών, την απουσία δομών και υπηρεσιών που να ανταποκρίνονται στις ανάγκες των ατόμων με αναπηρία και να υποστηρίζουν την ανεξάρτητη διαβίωση και την κοινωνική τους ένταξη, την ανεπάρκεια των οικονομικών ενισχύσεων και των μέτρων καταπολέμησης της φτώχειας.</w:t>
      </w:r>
    </w:p>
    <w:p w14:paraId="0C154089" w14:textId="7F388E57" w:rsidR="00717ABE" w:rsidRDefault="00717ABE" w:rsidP="00CB42EB">
      <w:pPr>
        <w:ind w:left="255" w:right="312"/>
        <w:jc w:val="both"/>
        <w:rPr>
          <w:lang w:val="el-GR"/>
        </w:rPr>
      </w:pPr>
      <w:r>
        <w:rPr>
          <w:lang w:val="el-GR"/>
        </w:rPr>
        <w:t>Παρά τις προτάσεις που είχε καταθέσει η ΕΣΑμεΑ στη διαβούλευση της Εθνικής Στρατηγικής για τα Δικαιώματα των Ατόμων με Αναπηρία 2024-2030: "Μια Ελλάδα με Όλους για Όλους", αυτή, όπως τελικά διαμορφώθηκε, δεν αντιμετωπίζει τα ζητήματα σχετικά με τη διασφάλιση ενός αξιοπρεπούς βιοτικού επιπέδου, όπως επιτάσσει και το άρθρο 28 της Σύμβασης των ΗΕ για τα Δικαιώματα των Ατόμων με Αναπηρίες.</w:t>
      </w:r>
    </w:p>
    <w:p w14:paraId="26598FDA" w14:textId="28CDEE37" w:rsidR="00717ABE" w:rsidRDefault="00717ABE" w:rsidP="00CB42EB">
      <w:pPr>
        <w:ind w:left="255" w:right="312"/>
        <w:jc w:val="both"/>
        <w:rPr>
          <w:lang w:val="el-GR"/>
        </w:rPr>
      </w:pPr>
      <w:r>
        <w:rPr>
          <w:lang w:val="el-GR"/>
        </w:rPr>
        <w:t>Με δεδομένη ωστόσο και τη δημογραφική γήρανση που εκ των πραγμάτων οδηγεί σε αύξηση των χρον</w:t>
      </w:r>
      <w:r w:rsidRPr="006F55C3">
        <w:rPr>
          <w:lang w:val="el-GR"/>
        </w:rPr>
        <w:t>ί</w:t>
      </w:r>
      <w:r>
        <w:rPr>
          <w:lang w:val="el-GR"/>
        </w:rPr>
        <w:t>ων παθήσεων και των αναπηριών, είναι σαφές ότι απαιτείται άμεση αλλαγή πλεύσης και ενίσχυση των κοινωνικών παροχών, με ειδική μέριμνα για τους πλέον ευάλωτους πολίτες. Σήμερα, τα άτομα με αναπηρία, χρόνιες ή/και σπάνιες παθήσεις και οι οικογένειές τους βιώνουν με τον πλέον δραματικό τρόπο τις επιπτώσεις των πολλαπλών κρίσεων που αντιμετωπίζουν οι σύγχρονες κοινωνίες, αδυνατώντας πλέον σε μεγάλο ποσοστό να καλύψουν ακόμα και βασικές καθημερινές ανάγκες διαβίωσης.</w:t>
      </w:r>
    </w:p>
    <w:p w14:paraId="2E63FC2C" w14:textId="54F06DFE" w:rsidR="00717ABE" w:rsidRDefault="00717ABE" w:rsidP="00CB42EB">
      <w:pPr>
        <w:ind w:left="255" w:right="312"/>
        <w:rPr>
          <w:highlight w:val="yellow"/>
          <w:lang w:val="el-GR"/>
        </w:rPr>
      </w:pPr>
      <w:r>
        <w:rPr>
          <w:lang w:val="el-GR"/>
        </w:rPr>
        <w:t>Η ανάγκη μιας ολοκληρωμένης προσέγγισης για την προστασία των ατόμων με αναπηρία, χρόνιες παθήσεις και των οικογενειών τους από τη φτώχεια και τον κοινωνικό αποκλεισμό αποτελεί για την ΕΣΑμεΑ ύψιστη διεκδίκηση και πολιτική προτεραιότητα.</w:t>
      </w:r>
    </w:p>
    <w:p w14:paraId="04466C6A" w14:textId="77777777" w:rsidR="003D48AE" w:rsidRDefault="003D48AE" w:rsidP="00717ABE">
      <w:pPr>
        <w:rPr>
          <w:lang w:val="el-GR"/>
        </w:rPr>
      </w:pPr>
    </w:p>
    <w:p w14:paraId="67C20FAB" w14:textId="79A5AA7F" w:rsidR="00717ABE" w:rsidRDefault="00717ABE">
      <w:pPr>
        <w:spacing w:after="0" w:line="240" w:lineRule="auto"/>
        <w:rPr>
          <w:lang w:val="el-GR"/>
        </w:rPr>
      </w:pPr>
      <w:r>
        <w:rPr>
          <w:lang w:val="el-GR"/>
        </w:rPr>
        <w:br w:type="page"/>
      </w:r>
    </w:p>
    <w:p w14:paraId="1CB9CE2A" w14:textId="77777777" w:rsidR="003D48AE" w:rsidRDefault="009C010A">
      <w:pPr>
        <w:pStyle w:val="Heading1"/>
        <w:numPr>
          <w:ilvl w:val="0"/>
          <w:numId w:val="0"/>
        </w:numPr>
        <w:spacing w:before="600" w:after="240"/>
        <w:jc w:val="center"/>
        <w:rPr>
          <w:b/>
          <w:bCs/>
          <w:color w:val="000000" w:themeColor="text1"/>
          <w:u w:val="single"/>
          <w:lang w:val="el-GR"/>
        </w:rPr>
      </w:pPr>
      <w:bookmarkStart w:id="4" w:name="_Toc18745"/>
      <w:r>
        <w:rPr>
          <w:b/>
          <w:bCs/>
          <w:color w:val="000000" w:themeColor="text1"/>
          <w:u w:val="single"/>
          <w:lang w:val="el-GR"/>
        </w:rPr>
        <w:lastRenderedPageBreak/>
        <w:t>ΑΝΑΛΥΣΗ ΕΥΡΥΜΑΤΩΝ</w:t>
      </w:r>
      <w:bookmarkEnd w:id="4"/>
    </w:p>
    <w:p w14:paraId="32BE5F4F" w14:textId="77777777" w:rsidR="003D48AE" w:rsidRDefault="009C010A" w:rsidP="00CB42EB">
      <w:pPr>
        <w:pStyle w:val="Heading2"/>
        <w:tabs>
          <w:tab w:val="left" w:pos="360"/>
        </w:tabs>
        <w:spacing w:before="360" w:after="240"/>
        <w:ind w:left="426" w:right="-142" w:hanging="426"/>
        <w:rPr>
          <w:sz w:val="24"/>
          <w:szCs w:val="24"/>
        </w:rPr>
      </w:pPr>
      <w:bookmarkStart w:id="5" w:name="_Toc25320"/>
      <w:bookmarkStart w:id="6" w:name="_Toc507672671"/>
      <w:r>
        <w:t>Παροχές κοινωνικής προστασίας</w:t>
      </w:r>
      <w:bookmarkEnd w:id="5"/>
    </w:p>
    <w:p w14:paraId="4C5B3B2E" w14:textId="4637211E" w:rsidR="003D48AE" w:rsidRDefault="009C010A">
      <w:pPr>
        <w:pStyle w:val="Caption"/>
        <w:spacing w:before="240" w:after="120"/>
        <w:jc w:val="both"/>
        <w:rPr>
          <w:i w:val="0"/>
          <w:iCs w:val="0"/>
          <w:color w:val="auto"/>
          <w:sz w:val="24"/>
          <w:szCs w:val="24"/>
          <w:lang w:val="el-GR"/>
        </w:rPr>
      </w:pPr>
      <w:r>
        <w:rPr>
          <w:i w:val="0"/>
          <w:iCs w:val="0"/>
          <w:color w:val="auto"/>
          <w:sz w:val="24"/>
          <w:szCs w:val="24"/>
          <w:lang w:val="el-GR"/>
        </w:rPr>
        <w:t>Οι συνολικές (ακαθάριστες</w:t>
      </w:r>
      <w:r>
        <w:rPr>
          <w:rStyle w:val="FootnoteReference"/>
          <w:i w:val="0"/>
          <w:iCs w:val="0"/>
          <w:color w:val="auto"/>
          <w:sz w:val="24"/>
          <w:szCs w:val="24"/>
          <w:lang w:val="el-GR"/>
        </w:rPr>
        <w:footnoteReference w:id="2"/>
      </w:r>
      <w:r>
        <w:rPr>
          <w:i w:val="0"/>
          <w:iCs w:val="0"/>
          <w:color w:val="auto"/>
          <w:sz w:val="24"/>
          <w:szCs w:val="24"/>
          <w:lang w:val="el-GR"/>
        </w:rPr>
        <w:t>) παροχές κοινωνικής προστασίας στην Ελλάδα ανήλθαν το 2022 σε 49.614 εκατομμύρια ευρώ</w:t>
      </w:r>
      <w:r>
        <w:rPr>
          <w:rStyle w:val="FootnoteReference"/>
          <w:i w:val="0"/>
          <w:iCs w:val="0"/>
          <w:color w:val="auto"/>
          <w:sz w:val="24"/>
          <w:szCs w:val="24"/>
          <w:lang w:val="el-GR"/>
        </w:rPr>
        <w:footnoteReference w:id="3"/>
      </w:r>
      <w:r>
        <w:rPr>
          <w:i w:val="0"/>
          <w:iCs w:val="0"/>
          <w:color w:val="auto"/>
          <w:sz w:val="24"/>
          <w:szCs w:val="24"/>
          <w:lang w:val="el-GR"/>
        </w:rPr>
        <w:t xml:space="preserve">. Στο </w:t>
      </w:r>
      <w:r w:rsidR="00CB42EB" w:rsidRPr="00CB42EB">
        <w:rPr>
          <w:i w:val="0"/>
          <w:iCs w:val="0"/>
          <w:color w:val="auto"/>
          <w:sz w:val="24"/>
          <w:szCs w:val="24"/>
          <w:lang w:val="el-GR"/>
        </w:rPr>
        <w:fldChar w:fldCharType="begin"/>
      </w:r>
      <w:r w:rsidR="00CB42EB" w:rsidRPr="00CB42EB">
        <w:rPr>
          <w:i w:val="0"/>
          <w:iCs w:val="0"/>
          <w:color w:val="auto"/>
          <w:sz w:val="24"/>
          <w:szCs w:val="24"/>
          <w:lang w:val="el-GR"/>
        </w:rPr>
        <w:instrText xml:space="preserve"> REF _Ref202276022 \h  \* MERGEFORMAT </w:instrText>
      </w:r>
      <w:r w:rsidR="00CB42EB" w:rsidRPr="00CB42EB">
        <w:rPr>
          <w:i w:val="0"/>
          <w:iCs w:val="0"/>
          <w:color w:val="auto"/>
          <w:sz w:val="24"/>
          <w:szCs w:val="24"/>
          <w:lang w:val="el-GR"/>
        </w:rPr>
      </w:r>
      <w:r w:rsidR="00CB42EB" w:rsidRPr="00CB42EB">
        <w:rPr>
          <w:i w:val="0"/>
          <w:iCs w:val="0"/>
          <w:color w:val="auto"/>
          <w:sz w:val="24"/>
          <w:szCs w:val="24"/>
          <w:lang w:val="el-GR"/>
        </w:rPr>
        <w:fldChar w:fldCharType="separate"/>
      </w:r>
      <w:r w:rsidR="00CB42EB" w:rsidRPr="00CB42EB">
        <w:rPr>
          <w:rFonts w:asciiTheme="majorHAnsi" w:hAnsiTheme="majorHAnsi" w:cstheme="majorHAnsi"/>
          <w:i w:val="0"/>
          <w:iCs w:val="0"/>
          <w:color w:val="2E74B5" w:themeColor="accent5" w:themeShade="BF"/>
          <w:sz w:val="24"/>
          <w:szCs w:val="24"/>
          <w:lang w:val="el-GR"/>
        </w:rPr>
        <w:t>Γράφημα 1</w:t>
      </w:r>
      <w:r w:rsidR="00CB42EB" w:rsidRPr="00CB42EB">
        <w:rPr>
          <w:i w:val="0"/>
          <w:iCs w:val="0"/>
          <w:color w:val="auto"/>
          <w:sz w:val="24"/>
          <w:szCs w:val="24"/>
          <w:lang w:val="el-GR"/>
        </w:rPr>
        <w:fldChar w:fldCharType="end"/>
      </w:r>
      <w:r w:rsidR="00CB42EB">
        <w:rPr>
          <w:i w:val="0"/>
          <w:iCs w:val="0"/>
          <w:color w:val="auto"/>
          <w:sz w:val="24"/>
          <w:szCs w:val="24"/>
          <w:lang w:val="el-GR"/>
        </w:rPr>
        <w:t xml:space="preserve"> </w:t>
      </w:r>
      <w:r>
        <w:rPr>
          <w:i w:val="0"/>
          <w:iCs w:val="0"/>
          <w:color w:val="auto"/>
          <w:sz w:val="24"/>
          <w:szCs w:val="24"/>
          <w:lang w:val="el-GR"/>
        </w:rPr>
        <w:t>παρουσιάζεται η διαχρονική εξέλιξη των δαπανών κατά τα έτη 2012-2022. Οι παροχές κοινωνικής προστασίας καταγράφουν μια συνεχόμενη πτωτική πορεία το διάστημα 2012 -2017, ενώ από το 2018 και ύστερα, καταγράφεται αυξητική τάση.</w:t>
      </w:r>
    </w:p>
    <w:p w14:paraId="34811713" w14:textId="77777777" w:rsidR="003D48AE" w:rsidRDefault="009C010A" w:rsidP="00CB42EB">
      <w:pPr>
        <w:pStyle w:val="Caption"/>
        <w:spacing w:before="240" w:after="120"/>
        <w:jc w:val="center"/>
        <w:rPr>
          <w:rFonts w:asciiTheme="majorHAnsi" w:hAnsiTheme="majorHAnsi" w:cstheme="majorHAnsi"/>
          <w:i w:val="0"/>
          <w:iCs w:val="0"/>
          <w:color w:val="2E74B5" w:themeColor="accent5" w:themeShade="BF"/>
          <w:sz w:val="24"/>
          <w:szCs w:val="24"/>
          <w:lang w:val="el-GR"/>
        </w:rPr>
      </w:pPr>
      <w:bookmarkStart w:id="7" w:name="_Ref202276022"/>
      <w:bookmarkStart w:id="8" w:name="_Toc201687249"/>
      <w:r w:rsidRPr="00CB42EB">
        <w:rPr>
          <w:rFonts w:asciiTheme="majorHAnsi" w:hAnsiTheme="majorHAnsi" w:cstheme="majorHAnsi"/>
          <w:b/>
          <w:bCs/>
          <w:i w:val="0"/>
          <w:iCs w:val="0"/>
          <w:color w:val="2E74B5" w:themeColor="accent5" w:themeShade="BF"/>
          <w:sz w:val="24"/>
          <w:szCs w:val="24"/>
          <w:lang w:val="el-GR"/>
        </w:rPr>
        <w:t xml:space="preserve">Γράφημα </w:t>
      </w:r>
      <w:r w:rsidRPr="00CB42EB">
        <w:rPr>
          <w:rFonts w:asciiTheme="majorHAnsi" w:hAnsiTheme="majorHAnsi" w:cstheme="majorHAnsi"/>
          <w:b/>
          <w:bCs/>
          <w:i w:val="0"/>
          <w:iCs w:val="0"/>
          <w:color w:val="2E74B5" w:themeColor="accent5" w:themeShade="BF"/>
          <w:sz w:val="24"/>
          <w:szCs w:val="24"/>
          <w:lang w:val="el-GR"/>
        </w:rPr>
        <w:fldChar w:fldCharType="begin"/>
      </w:r>
      <w:r w:rsidRPr="00CB42EB">
        <w:rPr>
          <w:rFonts w:asciiTheme="majorHAnsi" w:hAnsiTheme="majorHAnsi" w:cstheme="majorHAnsi"/>
          <w:b/>
          <w:bCs/>
          <w:i w:val="0"/>
          <w:iCs w:val="0"/>
          <w:color w:val="2E74B5" w:themeColor="accent5" w:themeShade="BF"/>
          <w:sz w:val="24"/>
          <w:szCs w:val="24"/>
          <w:lang w:val="el-GR"/>
        </w:rPr>
        <w:instrText xml:space="preserve"> SEQ Γράφημα \* ARABIC </w:instrText>
      </w:r>
      <w:r w:rsidRPr="00CB42EB">
        <w:rPr>
          <w:rFonts w:asciiTheme="majorHAnsi" w:hAnsiTheme="majorHAnsi" w:cstheme="majorHAnsi"/>
          <w:b/>
          <w:bCs/>
          <w:i w:val="0"/>
          <w:iCs w:val="0"/>
          <w:color w:val="2E74B5" w:themeColor="accent5" w:themeShade="BF"/>
          <w:sz w:val="24"/>
          <w:szCs w:val="24"/>
          <w:lang w:val="el-GR"/>
        </w:rPr>
        <w:fldChar w:fldCharType="separate"/>
      </w:r>
      <w:r w:rsidRPr="00CB42EB">
        <w:rPr>
          <w:rFonts w:asciiTheme="majorHAnsi" w:hAnsiTheme="majorHAnsi" w:cstheme="majorHAnsi"/>
          <w:b/>
          <w:bCs/>
          <w:i w:val="0"/>
          <w:iCs w:val="0"/>
          <w:color w:val="2E74B5" w:themeColor="accent5" w:themeShade="BF"/>
          <w:sz w:val="24"/>
          <w:szCs w:val="24"/>
          <w:lang w:val="el-GR"/>
        </w:rPr>
        <w:t>1</w:t>
      </w:r>
      <w:r w:rsidRPr="00CB42EB">
        <w:rPr>
          <w:rFonts w:asciiTheme="majorHAnsi" w:hAnsiTheme="majorHAnsi" w:cstheme="majorHAnsi"/>
          <w:b/>
          <w:bCs/>
          <w:i w:val="0"/>
          <w:iCs w:val="0"/>
          <w:color w:val="2E74B5" w:themeColor="accent5" w:themeShade="BF"/>
          <w:sz w:val="24"/>
          <w:szCs w:val="24"/>
          <w:lang w:val="el-GR"/>
        </w:rPr>
        <w:fldChar w:fldCharType="end"/>
      </w:r>
      <w:bookmarkEnd w:id="7"/>
      <w:r>
        <w:rPr>
          <w:rFonts w:asciiTheme="majorHAnsi" w:hAnsiTheme="majorHAnsi" w:cstheme="majorHAnsi"/>
          <w:i w:val="0"/>
          <w:iCs w:val="0"/>
          <w:color w:val="2E74B5" w:themeColor="accent5" w:themeShade="BF"/>
          <w:sz w:val="24"/>
          <w:szCs w:val="24"/>
          <w:lang w:val="el-GR"/>
        </w:rPr>
        <w:t>: Σύνολο παροχών Κοινωνικής Προστασίας στην Ελλάδα (σε εκατομμύρια €)</w:t>
      </w:r>
      <w:bookmarkEnd w:id="8"/>
    </w:p>
    <w:p w14:paraId="575F01FA" w14:textId="680560C6" w:rsidR="003D48AE" w:rsidRDefault="0078723A" w:rsidP="0078723A">
      <w:pPr>
        <w:rPr>
          <w:highlight w:val="red"/>
        </w:rPr>
      </w:pPr>
      <w:r>
        <w:rPr>
          <w:noProof/>
          <w:lang w:val="el-GR" w:eastAsia="el-GR"/>
        </w:rPr>
        <w:drawing>
          <wp:inline distT="0" distB="0" distL="0" distR="0" wp14:anchorId="315E8CCF" wp14:editId="5BA2E54D">
            <wp:extent cx="5579745" cy="3318235"/>
            <wp:effectExtent l="0" t="0" r="1905" b="0"/>
            <wp:docPr id="931904073" name="Chart 1" descr="52.722 το 2012, 46.765 το 2013, 45.374 το 2014, 45.741 το 2015, 45.836 το 2016, 44.891 το 2017, 45.266 το 2018, 46.125 το 2019, 48.142 το 2020, 48.600 το 2021, 49.614 το 2022.&#10;">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DBB7FF" w14:textId="2F87F5DC" w:rsidR="003D48AE" w:rsidRPr="00CB42EB" w:rsidRDefault="009C010A" w:rsidP="0078723A">
      <w:pPr>
        <w:pStyle w:val="Caption"/>
        <w:spacing w:after="240"/>
        <w:jc w:val="center"/>
        <w:rPr>
          <w:rFonts w:asciiTheme="majorHAnsi" w:hAnsiTheme="majorHAnsi" w:cstheme="majorHAnsi"/>
          <w:color w:val="2E74B5" w:themeColor="accent5" w:themeShade="BF"/>
          <w:lang w:val="el-GR"/>
        </w:rPr>
      </w:pPr>
      <w:r w:rsidRPr="005F7C51">
        <w:rPr>
          <w:rFonts w:asciiTheme="majorHAnsi" w:hAnsiTheme="majorHAnsi" w:cstheme="majorHAnsi"/>
          <w:b/>
          <w:bCs/>
          <w:color w:val="2E74B5" w:themeColor="accent5" w:themeShade="BF"/>
          <w:lang w:val="el-GR"/>
        </w:rPr>
        <w:t>Π</w:t>
      </w:r>
      <w:r w:rsidR="00CB42EB" w:rsidRPr="005F7C51">
        <w:rPr>
          <w:rFonts w:asciiTheme="majorHAnsi" w:hAnsiTheme="majorHAnsi" w:cstheme="majorHAnsi"/>
          <w:b/>
          <w:bCs/>
          <w:color w:val="2E74B5" w:themeColor="accent5" w:themeShade="BF"/>
          <w:lang w:val="el-GR"/>
        </w:rPr>
        <w:t>ηγή</w:t>
      </w:r>
      <w:r w:rsidRPr="00CB42EB">
        <w:rPr>
          <w:rFonts w:asciiTheme="majorHAnsi" w:hAnsiTheme="majorHAnsi" w:cstheme="majorHAnsi"/>
          <w:color w:val="2E74B5" w:themeColor="accent5" w:themeShade="BF"/>
          <w:lang w:val="el-GR"/>
        </w:rPr>
        <w:t xml:space="preserve">: Ελληνική Στατιστική Αρχή, Ευρωπαϊκό Σύστημα Ολοκληρωμένων Στατιστικών Κοινωνικής Προστασίας (ESSPROS) </w:t>
      </w:r>
      <w:r w:rsidR="00A97CD6" w:rsidRPr="005F7C51">
        <w:rPr>
          <w:rFonts w:asciiTheme="majorHAnsi" w:hAnsiTheme="majorHAnsi" w:cstheme="majorHAnsi"/>
          <w:b/>
          <w:bCs/>
          <w:color w:val="2E74B5" w:themeColor="accent5" w:themeShade="BF"/>
          <w:lang w:val="el-GR"/>
        </w:rPr>
        <w:t>Επεξεργασία</w:t>
      </w:r>
      <w:r w:rsidRPr="00CB42EB">
        <w:rPr>
          <w:rFonts w:asciiTheme="majorHAnsi" w:hAnsiTheme="majorHAnsi" w:cstheme="majorHAnsi"/>
          <w:color w:val="2E74B5" w:themeColor="accent5" w:themeShade="BF"/>
          <w:lang w:val="el-GR"/>
        </w:rPr>
        <w:t>: Παρατηρητήριο Θεμάτων Αναπηρίας-Ε.Σ.Α.μεΑ.</w:t>
      </w:r>
    </w:p>
    <w:p w14:paraId="722EAC37" w14:textId="751CE092" w:rsidR="003D48AE" w:rsidRDefault="009C010A">
      <w:pPr>
        <w:jc w:val="both"/>
        <w:rPr>
          <w:sz w:val="24"/>
          <w:szCs w:val="24"/>
          <w:lang w:val="el-GR"/>
        </w:rPr>
      </w:pPr>
      <w:r>
        <w:rPr>
          <w:sz w:val="24"/>
          <w:szCs w:val="24"/>
          <w:lang w:val="el-GR"/>
        </w:rPr>
        <w:t>Η σύγκριση των παροχών κοινωνικής προστασίας στην Ελλάδα με τα επίπεδα των παροχών στις υπόλοιπες χώρες της Ευρώπης καθίσταται δυνατή με τη χρήση του δείκτη «Κατά κεφαλή δαπάνη για παροχές κοινωνικής προστασίας σε μονάδες αγοραστικής δύναμης</w:t>
      </w:r>
      <w:r>
        <w:rPr>
          <w:i/>
          <w:vertAlign w:val="superscript"/>
        </w:rPr>
        <w:footnoteReference w:id="4"/>
      </w:r>
      <w:r>
        <w:rPr>
          <w:lang w:val="el-GR"/>
        </w:rPr>
        <w:t xml:space="preserve">». </w:t>
      </w:r>
      <w:bookmarkStart w:id="9" w:name="_Hlk165282352"/>
      <w:r>
        <w:rPr>
          <w:sz w:val="24"/>
          <w:szCs w:val="24"/>
          <w:lang w:val="el-GR"/>
        </w:rPr>
        <w:t xml:space="preserve">Εξαλείφοντας λοιπόν την επίδραση των διαφορετικών επιπέδων των τιμών </w:t>
      </w:r>
      <w:r>
        <w:rPr>
          <w:sz w:val="24"/>
          <w:szCs w:val="24"/>
          <w:lang w:val="el-GR"/>
        </w:rPr>
        <w:lastRenderedPageBreak/>
        <w:t xml:space="preserve">στις διαφορετικές χώρες υπολογίζεται η κατά κεφαλή εθνική δαπάνη για παροχές κοινωνικής προστασίας, η οποία για την Ελλάδα είναι 5.697 (ΜΑΔ), όντας κατά 43% χαμηλότερη από τον μέσο όρο της Ε.Ε.-27 (10.013). Όπως διαπιστώνει κανείς στο </w:t>
      </w:r>
      <w:r w:rsidR="00A97CD6" w:rsidRPr="000448C1">
        <w:rPr>
          <w:sz w:val="24"/>
          <w:szCs w:val="24"/>
          <w:lang w:val="el-GR"/>
        </w:rPr>
        <w:fldChar w:fldCharType="begin"/>
      </w:r>
      <w:r w:rsidR="00A97CD6" w:rsidRPr="000448C1">
        <w:rPr>
          <w:sz w:val="24"/>
          <w:szCs w:val="24"/>
          <w:lang w:val="el-GR"/>
        </w:rPr>
        <w:instrText xml:space="preserve"> REF _Ref202277585 \h </w:instrText>
      </w:r>
      <w:r w:rsidR="000448C1" w:rsidRPr="000448C1">
        <w:rPr>
          <w:sz w:val="24"/>
          <w:szCs w:val="24"/>
          <w:lang w:val="el-GR"/>
        </w:rPr>
        <w:instrText xml:space="preserve"> \* MERGEFORMAT </w:instrText>
      </w:r>
      <w:r w:rsidR="00A97CD6" w:rsidRPr="000448C1">
        <w:rPr>
          <w:sz w:val="24"/>
          <w:szCs w:val="24"/>
          <w:lang w:val="el-GR"/>
        </w:rPr>
      </w:r>
      <w:r w:rsidR="00A97CD6" w:rsidRPr="000448C1">
        <w:rPr>
          <w:sz w:val="24"/>
          <w:szCs w:val="24"/>
          <w:lang w:val="el-GR"/>
        </w:rPr>
        <w:fldChar w:fldCharType="separate"/>
      </w:r>
      <w:r w:rsidR="00A97CD6" w:rsidRPr="000448C1">
        <w:rPr>
          <w:rFonts w:asciiTheme="majorHAnsi" w:hAnsiTheme="majorHAnsi" w:cstheme="majorHAnsi"/>
          <w:color w:val="2E74B5" w:themeColor="accent5" w:themeShade="BF"/>
          <w:sz w:val="24"/>
          <w:szCs w:val="24"/>
          <w:lang w:val="el-GR"/>
        </w:rPr>
        <w:t>Γράφημα 2</w:t>
      </w:r>
      <w:r w:rsidR="00A97CD6" w:rsidRPr="000448C1">
        <w:rPr>
          <w:sz w:val="24"/>
          <w:szCs w:val="24"/>
          <w:lang w:val="el-GR"/>
        </w:rPr>
        <w:fldChar w:fldCharType="end"/>
      </w:r>
      <w:r>
        <w:rPr>
          <w:sz w:val="24"/>
          <w:szCs w:val="24"/>
          <w:lang w:val="el-GR"/>
        </w:rPr>
        <w:t>, οι δαπάνες για κοινωνική προστασία στην Ελλάδα κυμαίνονται σε χαμηλότερα επίπεδα και από τις υπόλοιπες χώρες του ευρωπαϊκού νότου.</w:t>
      </w:r>
    </w:p>
    <w:p w14:paraId="0391C07B" w14:textId="77777777" w:rsidR="003D48AE" w:rsidRDefault="009C010A" w:rsidP="00A97CD6">
      <w:pPr>
        <w:pStyle w:val="Caption"/>
        <w:spacing w:before="240" w:after="120"/>
        <w:jc w:val="center"/>
        <w:rPr>
          <w:rFonts w:asciiTheme="majorHAnsi" w:hAnsiTheme="majorHAnsi" w:cstheme="majorHAnsi"/>
          <w:i w:val="0"/>
          <w:iCs w:val="0"/>
          <w:color w:val="2E74B5" w:themeColor="accent5" w:themeShade="BF"/>
          <w:sz w:val="24"/>
          <w:szCs w:val="24"/>
          <w:lang w:val="el-GR"/>
        </w:rPr>
      </w:pPr>
      <w:bookmarkStart w:id="10" w:name="_Ref202277585"/>
      <w:bookmarkStart w:id="11" w:name="_Toc201687250"/>
      <w:bookmarkEnd w:id="9"/>
      <w:r w:rsidRPr="00A97CD6">
        <w:rPr>
          <w:rFonts w:asciiTheme="majorHAnsi" w:hAnsiTheme="majorHAnsi" w:cstheme="majorHAnsi"/>
          <w:b/>
          <w:bCs/>
          <w:i w:val="0"/>
          <w:iCs w:val="0"/>
          <w:color w:val="2E74B5" w:themeColor="accent5" w:themeShade="BF"/>
          <w:sz w:val="24"/>
          <w:szCs w:val="24"/>
          <w:lang w:val="el-GR"/>
        </w:rPr>
        <w:t xml:space="preserve">Γράφημα </w:t>
      </w:r>
      <w:r w:rsidRPr="00A97CD6">
        <w:rPr>
          <w:rFonts w:asciiTheme="majorHAnsi" w:hAnsiTheme="majorHAnsi" w:cstheme="majorHAnsi"/>
          <w:b/>
          <w:bCs/>
          <w:i w:val="0"/>
          <w:iCs w:val="0"/>
          <w:color w:val="2E74B5" w:themeColor="accent5" w:themeShade="BF"/>
          <w:sz w:val="24"/>
          <w:szCs w:val="24"/>
          <w:lang w:val="el-GR"/>
        </w:rPr>
        <w:fldChar w:fldCharType="begin"/>
      </w:r>
      <w:r w:rsidRPr="00A97CD6">
        <w:rPr>
          <w:rFonts w:asciiTheme="majorHAnsi" w:hAnsiTheme="majorHAnsi" w:cstheme="majorHAnsi"/>
          <w:b/>
          <w:bCs/>
          <w:i w:val="0"/>
          <w:iCs w:val="0"/>
          <w:color w:val="2E74B5" w:themeColor="accent5" w:themeShade="BF"/>
          <w:sz w:val="24"/>
          <w:szCs w:val="24"/>
          <w:lang w:val="el-GR"/>
        </w:rPr>
        <w:instrText xml:space="preserve"> SEQ Γράφημα \* ARABIC </w:instrText>
      </w:r>
      <w:r w:rsidRPr="00A97CD6">
        <w:rPr>
          <w:rFonts w:asciiTheme="majorHAnsi" w:hAnsiTheme="majorHAnsi" w:cstheme="majorHAnsi"/>
          <w:b/>
          <w:bCs/>
          <w:i w:val="0"/>
          <w:iCs w:val="0"/>
          <w:color w:val="2E74B5" w:themeColor="accent5" w:themeShade="BF"/>
          <w:sz w:val="24"/>
          <w:szCs w:val="24"/>
          <w:lang w:val="el-GR"/>
        </w:rPr>
        <w:fldChar w:fldCharType="separate"/>
      </w:r>
      <w:r w:rsidRPr="00A97CD6">
        <w:rPr>
          <w:rFonts w:asciiTheme="majorHAnsi" w:hAnsiTheme="majorHAnsi" w:cstheme="majorHAnsi"/>
          <w:b/>
          <w:bCs/>
          <w:i w:val="0"/>
          <w:iCs w:val="0"/>
          <w:color w:val="2E74B5" w:themeColor="accent5" w:themeShade="BF"/>
          <w:sz w:val="24"/>
          <w:szCs w:val="24"/>
          <w:lang w:val="el-GR"/>
        </w:rPr>
        <w:t>2</w:t>
      </w:r>
      <w:r w:rsidRPr="00A97CD6">
        <w:rPr>
          <w:rFonts w:asciiTheme="majorHAnsi" w:hAnsiTheme="majorHAnsi" w:cstheme="majorHAnsi"/>
          <w:b/>
          <w:bCs/>
          <w:i w:val="0"/>
          <w:iCs w:val="0"/>
          <w:color w:val="2E74B5" w:themeColor="accent5" w:themeShade="BF"/>
          <w:sz w:val="24"/>
          <w:szCs w:val="24"/>
          <w:lang w:val="el-GR"/>
        </w:rPr>
        <w:fldChar w:fldCharType="end"/>
      </w:r>
      <w:bookmarkEnd w:id="10"/>
      <w:r>
        <w:rPr>
          <w:rFonts w:asciiTheme="majorHAnsi" w:hAnsiTheme="majorHAnsi" w:cstheme="majorHAnsi"/>
          <w:i w:val="0"/>
          <w:iCs w:val="0"/>
          <w:color w:val="2E74B5" w:themeColor="accent5" w:themeShade="BF"/>
          <w:sz w:val="24"/>
          <w:szCs w:val="24"/>
          <w:lang w:val="el-GR"/>
        </w:rPr>
        <w:t>: Κατά Κεφαλήν Δαπάνη για παροχές κοινωνικής προστασίας (Σύνολο) σε Μονάδες Αγοραστικής Δύναμης (PURCHASING POWER STANDARD) για το έτος 2022</w:t>
      </w:r>
      <w:bookmarkEnd w:id="11"/>
    </w:p>
    <w:p w14:paraId="0991E3F6" w14:textId="38EC54E0" w:rsidR="003D48AE" w:rsidRDefault="005B6EFF">
      <w:pPr>
        <w:rPr>
          <w:b/>
          <w:iCs/>
        </w:rPr>
      </w:pPr>
      <w:r>
        <w:rPr>
          <w:noProof/>
          <w:lang w:val="el-GR" w:eastAsia="el-GR"/>
        </w:rPr>
        <w:drawing>
          <wp:inline distT="0" distB="0" distL="0" distR="0" wp14:anchorId="5D80E266" wp14:editId="5569ED74">
            <wp:extent cx="5579745" cy="6231117"/>
            <wp:effectExtent l="0" t="0" r="1905" b="0"/>
            <wp:docPr id="740026582" name="Chart 1" descr="Λουξεμβούργο: 17.012&#10;Αυστρία: 13.115&#10;Γερμανία: 13.097&#10;Ολλανδία: 12.755&#10;Δανία: 12.383&#10;Γαλλία: 12.083&#10;Βέλγιο: 11.523&#10;Φινλανδία: 11.174&#10;Σουηδία: 10.987&#10;Ευρωπαϊκή Ένωση - 27 χώρες (από το 2020): 10.063&#10;Ιταλία: 10.013&#10;Ιρλανδία: 7.997&#10;Ισπανία: 7.958&#10;Σλοβενία: 7.446&#10;Πορτογαλία: 6.744&#10;Κύπρος: 6.589&#10;Τσεχία: 6.494&#10;Πολωνία: 6.372&#10;Ελλάδα: 5.697&#10;Κροατία: 5.350&#10;Μάλτα: 5.329&#10;Λιθουανία: 5.304&#10;Ουγγαρία: 4.744&#10;Λετονία: 4.731&#10;Σλοβακία: 4.632&#10;Ρουμανία: 4.588&#10;Βουλγαρία: 4.568&#10;Εσθονία: 4.514">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E30D77" w14:textId="072EF55F" w:rsidR="003D48AE" w:rsidRPr="0001190B" w:rsidRDefault="00A97CD6" w:rsidP="00A97CD6">
      <w:pPr>
        <w:pStyle w:val="Caption"/>
        <w:spacing w:after="240"/>
        <w:jc w:val="center"/>
        <w:rPr>
          <w:rFonts w:asciiTheme="majorHAnsi" w:hAnsiTheme="majorHAnsi" w:cstheme="majorHAnsi"/>
          <w:color w:val="2E74B5" w:themeColor="accent5" w:themeShade="BF"/>
        </w:rPr>
      </w:pPr>
      <w:r w:rsidRPr="005F7C51">
        <w:rPr>
          <w:rFonts w:asciiTheme="majorHAnsi" w:hAnsiTheme="majorHAnsi" w:cstheme="majorHAnsi"/>
          <w:b/>
          <w:bCs/>
          <w:color w:val="2E74B5" w:themeColor="accent5" w:themeShade="BF"/>
          <w:lang w:val="el-GR"/>
        </w:rPr>
        <w:t>Πηγή</w:t>
      </w:r>
      <w:r w:rsidR="009C010A" w:rsidRPr="0001190B">
        <w:rPr>
          <w:rFonts w:asciiTheme="majorHAnsi" w:hAnsiTheme="majorHAnsi" w:cstheme="majorHAnsi"/>
          <w:color w:val="2E74B5" w:themeColor="accent5" w:themeShade="BF"/>
        </w:rPr>
        <w:t xml:space="preserve">: Eurostat, </w:t>
      </w:r>
      <w:r w:rsidR="009C010A" w:rsidRPr="00A97CD6">
        <w:rPr>
          <w:rFonts w:asciiTheme="majorHAnsi" w:hAnsiTheme="majorHAnsi" w:cstheme="majorHAnsi"/>
          <w:color w:val="2E74B5" w:themeColor="accent5" w:themeShade="BF"/>
          <w:lang w:val="en-GB"/>
        </w:rPr>
        <w:t>European System of Integrated Social Protection Statistics</w:t>
      </w:r>
      <w:r w:rsidRPr="0001190B">
        <w:rPr>
          <w:rFonts w:asciiTheme="majorHAnsi" w:hAnsiTheme="majorHAnsi" w:cstheme="majorHAnsi"/>
          <w:color w:val="2E74B5" w:themeColor="accent5" w:themeShade="BF"/>
        </w:rPr>
        <w:t xml:space="preserve"> -</w:t>
      </w:r>
      <w:r w:rsidR="009C010A" w:rsidRPr="0001190B">
        <w:rPr>
          <w:rFonts w:asciiTheme="majorHAnsi" w:hAnsiTheme="majorHAnsi" w:cstheme="majorHAnsi"/>
          <w:color w:val="2E74B5" w:themeColor="accent5" w:themeShade="BF"/>
        </w:rPr>
        <w:t>ESSPROS (2022)</w:t>
      </w:r>
      <w:r w:rsidRPr="0001190B">
        <w:rPr>
          <w:rFonts w:asciiTheme="majorHAnsi" w:hAnsiTheme="majorHAnsi" w:cstheme="majorHAnsi"/>
          <w:color w:val="2E74B5" w:themeColor="accent5" w:themeShade="BF"/>
        </w:rPr>
        <w:br/>
      </w:r>
      <w:r w:rsidRPr="005F7C51">
        <w:rPr>
          <w:rFonts w:asciiTheme="majorHAnsi" w:hAnsiTheme="majorHAnsi" w:cstheme="majorHAnsi"/>
          <w:b/>
          <w:bCs/>
          <w:color w:val="2E74B5" w:themeColor="accent5" w:themeShade="BF"/>
          <w:lang w:val="el-GR"/>
        </w:rPr>
        <w:t>Επεξεργασία</w:t>
      </w:r>
      <w:r w:rsidR="009C010A" w:rsidRPr="0001190B">
        <w:rPr>
          <w:rFonts w:asciiTheme="majorHAnsi" w:hAnsiTheme="majorHAnsi" w:cstheme="majorHAnsi"/>
          <w:color w:val="2E74B5" w:themeColor="accent5" w:themeShade="BF"/>
        </w:rPr>
        <w:t xml:space="preserve">: </w:t>
      </w:r>
      <w:r w:rsidR="009C010A">
        <w:rPr>
          <w:rFonts w:asciiTheme="majorHAnsi" w:hAnsiTheme="majorHAnsi" w:cstheme="majorHAnsi"/>
          <w:color w:val="2E74B5" w:themeColor="accent5" w:themeShade="BF"/>
          <w:lang w:val="el-GR"/>
        </w:rPr>
        <w:t>Παρατηρητήριο</w:t>
      </w:r>
      <w:r w:rsidR="009C010A" w:rsidRPr="0001190B">
        <w:rPr>
          <w:rFonts w:asciiTheme="majorHAnsi" w:hAnsiTheme="majorHAnsi" w:cstheme="majorHAnsi"/>
          <w:color w:val="2E74B5" w:themeColor="accent5" w:themeShade="BF"/>
        </w:rPr>
        <w:t xml:space="preserve"> </w:t>
      </w:r>
      <w:r w:rsidR="009C010A">
        <w:rPr>
          <w:rFonts w:asciiTheme="majorHAnsi" w:hAnsiTheme="majorHAnsi" w:cstheme="majorHAnsi"/>
          <w:color w:val="2E74B5" w:themeColor="accent5" w:themeShade="BF"/>
          <w:lang w:val="el-GR"/>
        </w:rPr>
        <w:t>Θεμάτων</w:t>
      </w:r>
      <w:r w:rsidR="009C010A" w:rsidRPr="0001190B">
        <w:rPr>
          <w:rFonts w:asciiTheme="majorHAnsi" w:hAnsiTheme="majorHAnsi" w:cstheme="majorHAnsi"/>
          <w:color w:val="2E74B5" w:themeColor="accent5" w:themeShade="BF"/>
        </w:rPr>
        <w:t xml:space="preserve"> </w:t>
      </w:r>
      <w:r w:rsidR="009C010A">
        <w:rPr>
          <w:rFonts w:asciiTheme="majorHAnsi" w:hAnsiTheme="majorHAnsi" w:cstheme="majorHAnsi"/>
          <w:color w:val="2E74B5" w:themeColor="accent5" w:themeShade="BF"/>
          <w:lang w:val="el-GR"/>
        </w:rPr>
        <w:t>Αναπηρίας</w:t>
      </w:r>
      <w:r w:rsidR="009C010A" w:rsidRPr="0001190B">
        <w:rPr>
          <w:rFonts w:asciiTheme="majorHAnsi" w:hAnsiTheme="majorHAnsi" w:cstheme="majorHAnsi"/>
          <w:color w:val="2E74B5" w:themeColor="accent5" w:themeShade="BF"/>
        </w:rPr>
        <w:t>-</w:t>
      </w:r>
      <w:r w:rsidRPr="0001190B">
        <w:rPr>
          <w:rFonts w:asciiTheme="majorHAnsi" w:hAnsiTheme="majorHAnsi" w:cstheme="majorHAnsi"/>
          <w:color w:val="2E74B5" w:themeColor="accent5" w:themeShade="BF"/>
        </w:rPr>
        <w:t xml:space="preserve"> </w:t>
      </w:r>
      <w:r w:rsidRPr="00CB42EB">
        <w:rPr>
          <w:rFonts w:asciiTheme="majorHAnsi" w:hAnsiTheme="majorHAnsi" w:cstheme="majorHAnsi"/>
          <w:color w:val="2E74B5" w:themeColor="accent5" w:themeShade="BF"/>
          <w:lang w:val="el-GR"/>
        </w:rPr>
        <w:t>Ε</w:t>
      </w:r>
      <w:r w:rsidRPr="0001190B">
        <w:rPr>
          <w:rFonts w:asciiTheme="majorHAnsi" w:hAnsiTheme="majorHAnsi" w:cstheme="majorHAnsi"/>
          <w:color w:val="2E74B5" w:themeColor="accent5" w:themeShade="BF"/>
        </w:rPr>
        <w:t>.</w:t>
      </w:r>
      <w:r w:rsidRPr="00CB42EB">
        <w:rPr>
          <w:rFonts w:asciiTheme="majorHAnsi" w:hAnsiTheme="majorHAnsi" w:cstheme="majorHAnsi"/>
          <w:color w:val="2E74B5" w:themeColor="accent5" w:themeShade="BF"/>
          <w:lang w:val="el-GR"/>
        </w:rPr>
        <w:t>Σ</w:t>
      </w:r>
      <w:r w:rsidRPr="0001190B">
        <w:rPr>
          <w:rFonts w:asciiTheme="majorHAnsi" w:hAnsiTheme="majorHAnsi" w:cstheme="majorHAnsi"/>
          <w:color w:val="2E74B5" w:themeColor="accent5" w:themeShade="BF"/>
        </w:rPr>
        <w:t>.</w:t>
      </w:r>
      <w:r w:rsidRPr="00CB42EB">
        <w:rPr>
          <w:rFonts w:asciiTheme="majorHAnsi" w:hAnsiTheme="majorHAnsi" w:cstheme="majorHAnsi"/>
          <w:color w:val="2E74B5" w:themeColor="accent5" w:themeShade="BF"/>
          <w:lang w:val="el-GR"/>
        </w:rPr>
        <w:t>Α</w:t>
      </w:r>
      <w:r w:rsidRPr="0001190B">
        <w:rPr>
          <w:rFonts w:asciiTheme="majorHAnsi" w:hAnsiTheme="majorHAnsi" w:cstheme="majorHAnsi"/>
          <w:color w:val="2E74B5" w:themeColor="accent5" w:themeShade="BF"/>
        </w:rPr>
        <w:t>.</w:t>
      </w:r>
      <w:proofErr w:type="spellStart"/>
      <w:r w:rsidRPr="00CB42EB">
        <w:rPr>
          <w:rFonts w:asciiTheme="majorHAnsi" w:hAnsiTheme="majorHAnsi" w:cstheme="majorHAnsi"/>
          <w:color w:val="2E74B5" w:themeColor="accent5" w:themeShade="BF"/>
          <w:lang w:val="el-GR"/>
        </w:rPr>
        <w:t>μεΑ</w:t>
      </w:r>
      <w:proofErr w:type="spellEnd"/>
      <w:r w:rsidRPr="0001190B">
        <w:rPr>
          <w:rFonts w:asciiTheme="majorHAnsi" w:hAnsiTheme="majorHAnsi" w:cstheme="majorHAnsi"/>
          <w:color w:val="2E74B5" w:themeColor="accent5" w:themeShade="BF"/>
        </w:rPr>
        <w:t>.</w:t>
      </w:r>
    </w:p>
    <w:p w14:paraId="6D885170" w14:textId="59BAFA30" w:rsidR="003D48AE" w:rsidRDefault="009C010A">
      <w:pPr>
        <w:jc w:val="both"/>
        <w:rPr>
          <w:sz w:val="24"/>
          <w:szCs w:val="24"/>
          <w:lang w:val="el-GR"/>
        </w:rPr>
      </w:pPr>
      <w:r>
        <w:rPr>
          <w:sz w:val="24"/>
          <w:szCs w:val="24"/>
          <w:lang w:val="el-GR"/>
        </w:rPr>
        <w:lastRenderedPageBreak/>
        <w:t>Ένας δεύτερος δείκτης σύγκρισης,</w:t>
      </w:r>
      <w:r w:rsidR="001E1CA2">
        <w:rPr>
          <w:sz w:val="24"/>
          <w:szCs w:val="24"/>
          <w:lang w:val="el-GR"/>
        </w:rPr>
        <w:t xml:space="preserve"> </w:t>
      </w:r>
      <w:r>
        <w:rPr>
          <w:sz w:val="24"/>
          <w:szCs w:val="24"/>
          <w:lang w:val="el-GR"/>
        </w:rPr>
        <w:t>αφορά στον υπολογισμό των δαπανών ως ποσοστό του ΑΕΠ κάθε χώρας</w:t>
      </w:r>
      <w:r w:rsidR="000448C1" w:rsidRPr="00CC24C6">
        <w:rPr>
          <w:sz w:val="24"/>
          <w:szCs w:val="24"/>
          <w:lang w:val="el-GR"/>
        </w:rPr>
        <w:t xml:space="preserve"> (</w:t>
      </w:r>
      <w:r w:rsidR="000448C1">
        <w:rPr>
          <w:sz w:val="24"/>
          <w:szCs w:val="24"/>
        </w:rPr>
        <w:fldChar w:fldCharType="begin"/>
      </w:r>
      <w:r w:rsidR="000448C1" w:rsidRPr="00CC24C6">
        <w:rPr>
          <w:sz w:val="24"/>
          <w:szCs w:val="24"/>
          <w:lang w:val="el-GR"/>
        </w:rPr>
        <w:instrText xml:space="preserve"> </w:instrText>
      </w:r>
      <w:r w:rsidR="000448C1">
        <w:rPr>
          <w:sz w:val="24"/>
          <w:szCs w:val="24"/>
        </w:rPr>
        <w:instrText>REF</w:instrText>
      </w:r>
      <w:r w:rsidR="000448C1" w:rsidRPr="00CC24C6">
        <w:rPr>
          <w:sz w:val="24"/>
          <w:szCs w:val="24"/>
          <w:lang w:val="el-GR"/>
        </w:rPr>
        <w:instrText xml:space="preserve"> _</w:instrText>
      </w:r>
      <w:r w:rsidR="000448C1">
        <w:rPr>
          <w:sz w:val="24"/>
          <w:szCs w:val="24"/>
        </w:rPr>
        <w:instrText>Ref</w:instrText>
      </w:r>
      <w:r w:rsidR="000448C1" w:rsidRPr="00CC24C6">
        <w:rPr>
          <w:sz w:val="24"/>
          <w:szCs w:val="24"/>
          <w:lang w:val="el-GR"/>
        </w:rPr>
        <w:instrText>202282045 \</w:instrText>
      </w:r>
      <w:r w:rsidR="000448C1">
        <w:rPr>
          <w:sz w:val="24"/>
          <w:szCs w:val="24"/>
        </w:rPr>
        <w:instrText>h</w:instrText>
      </w:r>
      <w:r w:rsidR="000448C1" w:rsidRPr="00CC24C6">
        <w:rPr>
          <w:sz w:val="24"/>
          <w:szCs w:val="24"/>
          <w:lang w:val="el-GR"/>
        </w:rPr>
        <w:instrText xml:space="preserve"> </w:instrText>
      </w:r>
      <w:r w:rsidR="000448C1">
        <w:rPr>
          <w:sz w:val="24"/>
          <w:szCs w:val="24"/>
        </w:rPr>
      </w:r>
      <w:r w:rsidR="000448C1">
        <w:rPr>
          <w:sz w:val="24"/>
          <w:szCs w:val="24"/>
        </w:rPr>
        <w:fldChar w:fldCharType="separate"/>
      </w:r>
      <w:r w:rsidR="000448C1">
        <w:rPr>
          <w:rFonts w:asciiTheme="majorHAnsi" w:hAnsiTheme="majorHAnsi" w:cstheme="majorHAnsi"/>
          <w:color w:val="2E74B5" w:themeColor="accent5" w:themeShade="BF"/>
          <w:sz w:val="24"/>
          <w:szCs w:val="24"/>
          <w:lang w:val="el-GR"/>
        </w:rPr>
        <w:t>Γράφημα 3</w:t>
      </w:r>
      <w:r w:rsidR="000448C1">
        <w:rPr>
          <w:sz w:val="24"/>
          <w:szCs w:val="24"/>
        </w:rPr>
        <w:fldChar w:fldCharType="end"/>
      </w:r>
      <w:r w:rsidR="000448C1" w:rsidRPr="00CC24C6">
        <w:rPr>
          <w:sz w:val="24"/>
          <w:szCs w:val="24"/>
          <w:lang w:val="el-GR"/>
        </w:rPr>
        <w:t>)</w:t>
      </w:r>
      <w:r>
        <w:rPr>
          <w:sz w:val="24"/>
          <w:szCs w:val="24"/>
          <w:lang w:val="el-GR"/>
        </w:rPr>
        <w:t xml:space="preserve">. </w:t>
      </w:r>
      <w:bookmarkStart w:id="12" w:name="_Hlk201563537"/>
      <w:r>
        <w:rPr>
          <w:sz w:val="24"/>
          <w:szCs w:val="24"/>
          <w:lang w:val="el-GR"/>
        </w:rPr>
        <w:t>Το 2022, οι συνολικές δαπάνες για παροχές κοινωνικές προστασίας αντιπροσωπεύουν το 24,1% του ελληνικού ΑΕΠ, ποσοστό που υπολείπεται σχεδόν κατά 4</w:t>
      </w:r>
      <w:r w:rsidR="001E1CA2">
        <w:rPr>
          <w:sz w:val="24"/>
          <w:szCs w:val="24"/>
          <w:lang w:val="el-GR"/>
        </w:rPr>
        <w:t xml:space="preserve"> </w:t>
      </w:r>
      <w:r>
        <w:rPr>
          <w:sz w:val="24"/>
          <w:szCs w:val="24"/>
          <w:lang w:val="el-GR"/>
        </w:rPr>
        <w:t>μονάδες</w:t>
      </w:r>
      <w:r w:rsidR="001E1CA2">
        <w:rPr>
          <w:sz w:val="24"/>
          <w:szCs w:val="24"/>
          <w:lang w:val="el-GR"/>
        </w:rPr>
        <w:t xml:space="preserve"> </w:t>
      </w:r>
      <w:r>
        <w:rPr>
          <w:sz w:val="24"/>
          <w:szCs w:val="24"/>
          <w:lang w:val="el-GR"/>
        </w:rPr>
        <w:t>από τον ευρωπαϊκό μέσο όρο των 27 (ΕΕ-27: 27,9%).</w:t>
      </w:r>
    </w:p>
    <w:p w14:paraId="7320A206" w14:textId="685C4CEB" w:rsidR="003D48AE" w:rsidRDefault="009C010A" w:rsidP="000448C1">
      <w:pPr>
        <w:pStyle w:val="Caption"/>
        <w:spacing w:before="240" w:after="120"/>
        <w:ind w:left="284"/>
        <w:jc w:val="center"/>
        <w:rPr>
          <w:b/>
          <w:iCs w:val="0"/>
          <w:lang w:val="el-GR"/>
        </w:rPr>
      </w:pPr>
      <w:bookmarkStart w:id="13" w:name="_Ref202282045"/>
      <w:bookmarkStart w:id="14" w:name="_Toc201687251"/>
      <w:bookmarkEnd w:id="12"/>
      <w:r w:rsidRPr="000448C1">
        <w:rPr>
          <w:rFonts w:asciiTheme="majorHAnsi" w:hAnsiTheme="majorHAnsi" w:cstheme="majorHAnsi"/>
          <w:b/>
          <w:bCs/>
          <w:i w:val="0"/>
          <w:iCs w:val="0"/>
          <w:color w:val="2E74B5" w:themeColor="accent5" w:themeShade="BF"/>
          <w:sz w:val="24"/>
          <w:szCs w:val="24"/>
          <w:lang w:val="el-GR"/>
        </w:rPr>
        <w:t xml:space="preserve">Γράφημα </w:t>
      </w:r>
      <w:r w:rsidRPr="000448C1">
        <w:rPr>
          <w:rFonts w:asciiTheme="majorHAnsi" w:hAnsiTheme="majorHAnsi" w:cstheme="majorHAnsi"/>
          <w:b/>
          <w:bCs/>
          <w:i w:val="0"/>
          <w:iCs w:val="0"/>
          <w:color w:val="2E74B5" w:themeColor="accent5" w:themeShade="BF"/>
          <w:sz w:val="24"/>
          <w:szCs w:val="24"/>
          <w:lang w:val="el-GR"/>
        </w:rPr>
        <w:fldChar w:fldCharType="begin"/>
      </w:r>
      <w:r w:rsidRPr="000448C1">
        <w:rPr>
          <w:rFonts w:asciiTheme="majorHAnsi" w:hAnsiTheme="majorHAnsi" w:cstheme="majorHAnsi"/>
          <w:b/>
          <w:bCs/>
          <w:i w:val="0"/>
          <w:iCs w:val="0"/>
          <w:color w:val="2E74B5" w:themeColor="accent5" w:themeShade="BF"/>
          <w:sz w:val="24"/>
          <w:szCs w:val="24"/>
          <w:lang w:val="el-GR"/>
        </w:rPr>
        <w:instrText xml:space="preserve"> SEQ Γράφημα \* ARABIC </w:instrText>
      </w:r>
      <w:r w:rsidRPr="000448C1">
        <w:rPr>
          <w:rFonts w:asciiTheme="majorHAnsi" w:hAnsiTheme="majorHAnsi" w:cstheme="majorHAnsi"/>
          <w:b/>
          <w:bCs/>
          <w:i w:val="0"/>
          <w:iCs w:val="0"/>
          <w:color w:val="2E74B5" w:themeColor="accent5" w:themeShade="BF"/>
          <w:sz w:val="24"/>
          <w:szCs w:val="24"/>
          <w:lang w:val="el-GR"/>
        </w:rPr>
        <w:fldChar w:fldCharType="separate"/>
      </w:r>
      <w:r w:rsidRPr="000448C1">
        <w:rPr>
          <w:rFonts w:asciiTheme="majorHAnsi" w:hAnsiTheme="majorHAnsi" w:cstheme="majorHAnsi"/>
          <w:b/>
          <w:bCs/>
          <w:i w:val="0"/>
          <w:iCs w:val="0"/>
          <w:color w:val="2E74B5" w:themeColor="accent5" w:themeShade="BF"/>
          <w:sz w:val="24"/>
          <w:szCs w:val="24"/>
          <w:lang w:val="el-GR"/>
        </w:rPr>
        <w:t>3</w:t>
      </w:r>
      <w:r w:rsidRPr="000448C1">
        <w:rPr>
          <w:rFonts w:asciiTheme="majorHAnsi" w:hAnsiTheme="majorHAnsi" w:cstheme="majorHAnsi"/>
          <w:b/>
          <w:bCs/>
          <w:i w:val="0"/>
          <w:iCs w:val="0"/>
          <w:color w:val="2E74B5" w:themeColor="accent5" w:themeShade="BF"/>
          <w:sz w:val="24"/>
          <w:szCs w:val="24"/>
          <w:lang w:val="el-GR"/>
        </w:rPr>
        <w:fldChar w:fldCharType="end"/>
      </w:r>
      <w:bookmarkEnd w:id="13"/>
      <w:r>
        <w:rPr>
          <w:rFonts w:asciiTheme="majorHAnsi" w:hAnsiTheme="majorHAnsi" w:cstheme="majorHAnsi"/>
          <w:i w:val="0"/>
          <w:iCs w:val="0"/>
          <w:color w:val="2E74B5" w:themeColor="accent5" w:themeShade="BF"/>
          <w:sz w:val="24"/>
          <w:szCs w:val="24"/>
          <w:lang w:val="el-GR"/>
        </w:rPr>
        <w:t xml:space="preserve">: Δαπάνες για παροχές κοινωνικής προστασίας </w:t>
      </w:r>
      <w:r w:rsidR="000448C1" w:rsidRPr="0001190B">
        <w:rPr>
          <w:rFonts w:asciiTheme="majorHAnsi" w:hAnsiTheme="majorHAnsi" w:cstheme="majorHAnsi"/>
          <w:i w:val="0"/>
          <w:iCs w:val="0"/>
          <w:color w:val="2E74B5" w:themeColor="accent5" w:themeShade="BF"/>
          <w:sz w:val="24"/>
          <w:szCs w:val="24"/>
          <w:lang w:val="el-GR"/>
        </w:rPr>
        <w:br/>
      </w:r>
      <w:r>
        <w:rPr>
          <w:rFonts w:asciiTheme="majorHAnsi" w:hAnsiTheme="majorHAnsi" w:cstheme="majorHAnsi"/>
          <w:i w:val="0"/>
          <w:iCs w:val="0"/>
          <w:color w:val="2E74B5" w:themeColor="accent5" w:themeShade="BF"/>
          <w:sz w:val="24"/>
          <w:szCs w:val="24"/>
          <w:lang w:val="el-GR"/>
        </w:rPr>
        <w:t>ως ποσοστό του ΑΕΠ (2022) στις χώρες της ΕΕ-27</w:t>
      </w:r>
      <w:bookmarkEnd w:id="14"/>
    </w:p>
    <w:p w14:paraId="45F4B6B7" w14:textId="205010FE" w:rsidR="003D48AE" w:rsidRDefault="005B6EFF">
      <w:pPr>
        <w:rPr>
          <w:b/>
          <w:iCs/>
        </w:rPr>
      </w:pPr>
      <w:r>
        <w:rPr>
          <w:noProof/>
          <w:lang w:val="el-GR" w:eastAsia="el-GR"/>
        </w:rPr>
        <w:drawing>
          <wp:inline distT="0" distB="0" distL="0" distR="0" wp14:anchorId="3AA890E7" wp14:editId="1CA4BB42">
            <wp:extent cx="5579745" cy="5967167"/>
            <wp:effectExtent l="0" t="0" r="1905" b="0"/>
            <wp:docPr id="951488127" name="Chart 1" descr="Γαλλία: 33,98&#10;Αυστρία: 30,45&#10;Φινλανδία: 30,08&#10;Γερμανία: 30,01&#10;Ιταλία: 29,75&#10;Βέλγιο: 28,55&#10;Δανία: 28,06&#10;ΕΕ - 27 (από το 2020): 27,85&#10;Σουηδία: 27,23&#10;Ολλανδία: 27,12&#10;Ισπανία: 25,87&#10;Πορτογαλία: 24,67&#10;Σλοβενία: 24,25&#10;Ελλάδα: 24,14&#10;Λουξεμβούργο: 22,18&#10;Πολωνία: 20,95&#10;Κροατία: 20,9&#10;Τσεχία: 19,94&#10;Κύπρος: 19,81&#10;Λετονία: 18,86&#10;Βουλγαρία: 18,64&#10;Σλοβακία: 18,18&#10;Ουγγαρία: 16,67&#10;Λιθουανία: 16,59&#10;Ρουμανία: 16,5&#10;Εσθονία: 15,74&#10;Μάλτα: 14,41&#10;Ιρλανδία: 11,37">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28E80E" w14:textId="30691D2A" w:rsidR="000448C1" w:rsidRPr="0001190B" w:rsidRDefault="000448C1" w:rsidP="000448C1">
      <w:pPr>
        <w:pStyle w:val="Caption"/>
        <w:spacing w:after="240"/>
        <w:jc w:val="center"/>
        <w:rPr>
          <w:rFonts w:asciiTheme="majorHAnsi" w:hAnsiTheme="majorHAnsi" w:cstheme="majorHAnsi"/>
          <w:color w:val="2E74B5" w:themeColor="accent5" w:themeShade="BF"/>
        </w:rPr>
      </w:pPr>
      <w:r w:rsidRPr="005F7C51">
        <w:rPr>
          <w:rFonts w:asciiTheme="majorHAnsi" w:hAnsiTheme="majorHAnsi" w:cstheme="majorHAnsi"/>
          <w:b/>
          <w:bCs/>
          <w:color w:val="2E74B5" w:themeColor="accent5" w:themeShade="BF"/>
          <w:lang w:val="el-GR"/>
        </w:rPr>
        <w:t>Πηγή</w:t>
      </w:r>
      <w:r w:rsidRPr="0001190B">
        <w:rPr>
          <w:rFonts w:asciiTheme="majorHAnsi" w:hAnsiTheme="majorHAnsi" w:cstheme="majorHAnsi"/>
          <w:color w:val="2E74B5" w:themeColor="accent5" w:themeShade="BF"/>
        </w:rPr>
        <w:t xml:space="preserve">: Eurostat, </w:t>
      </w:r>
      <w:r w:rsidRPr="00A97CD6">
        <w:rPr>
          <w:rFonts w:asciiTheme="majorHAnsi" w:hAnsiTheme="majorHAnsi" w:cstheme="majorHAnsi"/>
          <w:color w:val="2E74B5" w:themeColor="accent5" w:themeShade="BF"/>
          <w:lang w:val="en-GB"/>
        </w:rPr>
        <w:t>European System of Integrated Social Protection Statistics</w:t>
      </w:r>
      <w:r w:rsidRPr="0001190B">
        <w:rPr>
          <w:rFonts w:asciiTheme="majorHAnsi" w:hAnsiTheme="majorHAnsi" w:cstheme="majorHAnsi"/>
          <w:color w:val="2E74B5" w:themeColor="accent5" w:themeShade="BF"/>
        </w:rPr>
        <w:t xml:space="preserve"> -ESSPROS (2022) </w:t>
      </w:r>
      <w:r w:rsidRPr="0001190B">
        <w:rPr>
          <w:rFonts w:asciiTheme="majorHAnsi" w:hAnsiTheme="majorHAnsi" w:cstheme="majorHAnsi"/>
          <w:color w:val="2E74B5" w:themeColor="accent5" w:themeShade="BF"/>
        </w:rPr>
        <w:br/>
      </w:r>
      <w:r w:rsidRPr="005F7C51">
        <w:rPr>
          <w:rFonts w:asciiTheme="majorHAnsi" w:hAnsiTheme="majorHAnsi" w:cstheme="majorHAnsi"/>
          <w:b/>
          <w:bCs/>
          <w:color w:val="2E74B5" w:themeColor="accent5" w:themeShade="BF"/>
          <w:lang w:val="el-GR"/>
        </w:rPr>
        <w:t>Επεξεργασία</w:t>
      </w:r>
      <w:r w:rsidRPr="0001190B">
        <w:rPr>
          <w:rFonts w:asciiTheme="majorHAnsi" w:hAnsiTheme="majorHAnsi" w:cstheme="majorHAnsi"/>
          <w:color w:val="2E74B5" w:themeColor="accent5" w:themeShade="BF"/>
        </w:rPr>
        <w:t xml:space="preserve">: </w:t>
      </w:r>
      <w:r>
        <w:rPr>
          <w:rFonts w:asciiTheme="majorHAnsi" w:hAnsiTheme="majorHAnsi" w:cstheme="majorHAnsi"/>
          <w:color w:val="2E74B5" w:themeColor="accent5" w:themeShade="BF"/>
          <w:lang w:val="el-GR"/>
        </w:rPr>
        <w:t>Παρατηρητήριο</w:t>
      </w:r>
      <w:r w:rsidRPr="0001190B">
        <w:rPr>
          <w:rFonts w:asciiTheme="majorHAnsi" w:hAnsiTheme="majorHAnsi" w:cstheme="majorHAnsi"/>
          <w:color w:val="2E74B5" w:themeColor="accent5" w:themeShade="BF"/>
        </w:rPr>
        <w:t xml:space="preserve"> </w:t>
      </w:r>
      <w:r>
        <w:rPr>
          <w:rFonts w:asciiTheme="majorHAnsi" w:hAnsiTheme="majorHAnsi" w:cstheme="majorHAnsi"/>
          <w:color w:val="2E74B5" w:themeColor="accent5" w:themeShade="BF"/>
          <w:lang w:val="el-GR"/>
        </w:rPr>
        <w:t>Θεμάτων</w:t>
      </w:r>
      <w:r w:rsidRPr="0001190B">
        <w:rPr>
          <w:rFonts w:asciiTheme="majorHAnsi" w:hAnsiTheme="majorHAnsi" w:cstheme="majorHAnsi"/>
          <w:color w:val="2E74B5" w:themeColor="accent5" w:themeShade="BF"/>
        </w:rPr>
        <w:t xml:space="preserve"> </w:t>
      </w:r>
      <w:r>
        <w:rPr>
          <w:rFonts w:asciiTheme="majorHAnsi" w:hAnsiTheme="majorHAnsi" w:cstheme="majorHAnsi"/>
          <w:color w:val="2E74B5" w:themeColor="accent5" w:themeShade="BF"/>
          <w:lang w:val="el-GR"/>
        </w:rPr>
        <w:t>Αναπηρίας</w:t>
      </w:r>
      <w:r w:rsidRPr="0001190B">
        <w:rPr>
          <w:rFonts w:asciiTheme="majorHAnsi" w:hAnsiTheme="majorHAnsi" w:cstheme="majorHAnsi"/>
          <w:color w:val="2E74B5" w:themeColor="accent5" w:themeShade="BF"/>
        </w:rPr>
        <w:t xml:space="preserve">- </w:t>
      </w:r>
      <w:r w:rsidRPr="00CB42EB">
        <w:rPr>
          <w:rFonts w:asciiTheme="majorHAnsi" w:hAnsiTheme="majorHAnsi" w:cstheme="majorHAnsi"/>
          <w:color w:val="2E74B5" w:themeColor="accent5" w:themeShade="BF"/>
          <w:lang w:val="el-GR"/>
        </w:rPr>
        <w:t>Ε</w:t>
      </w:r>
      <w:r w:rsidRPr="0001190B">
        <w:rPr>
          <w:rFonts w:asciiTheme="majorHAnsi" w:hAnsiTheme="majorHAnsi" w:cstheme="majorHAnsi"/>
          <w:color w:val="2E74B5" w:themeColor="accent5" w:themeShade="BF"/>
        </w:rPr>
        <w:t>.</w:t>
      </w:r>
      <w:r w:rsidRPr="00CB42EB">
        <w:rPr>
          <w:rFonts w:asciiTheme="majorHAnsi" w:hAnsiTheme="majorHAnsi" w:cstheme="majorHAnsi"/>
          <w:color w:val="2E74B5" w:themeColor="accent5" w:themeShade="BF"/>
          <w:lang w:val="el-GR"/>
        </w:rPr>
        <w:t>Σ</w:t>
      </w:r>
      <w:r w:rsidRPr="0001190B">
        <w:rPr>
          <w:rFonts w:asciiTheme="majorHAnsi" w:hAnsiTheme="majorHAnsi" w:cstheme="majorHAnsi"/>
          <w:color w:val="2E74B5" w:themeColor="accent5" w:themeShade="BF"/>
        </w:rPr>
        <w:t>.</w:t>
      </w:r>
      <w:r w:rsidRPr="00CB42EB">
        <w:rPr>
          <w:rFonts w:asciiTheme="majorHAnsi" w:hAnsiTheme="majorHAnsi" w:cstheme="majorHAnsi"/>
          <w:color w:val="2E74B5" w:themeColor="accent5" w:themeShade="BF"/>
          <w:lang w:val="el-GR"/>
        </w:rPr>
        <w:t>Α</w:t>
      </w:r>
      <w:r w:rsidRPr="0001190B">
        <w:rPr>
          <w:rFonts w:asciiTheme="majorHAnsi" w:hAnsiTheme="majorHAnsi" w:cstheme="majorHAnsi"/>
          <w:color w:val="2E74B5" w:themeColor="accent5" w:themeShade="BF"/>
        </w:rPr>
        <w:t>.</w:t>
      </w:r>
      <w:proofErr w:type="spellStart"/>
      <w:r w:rsidRPr="00CB42EB">
        <w:rPr>
          <w:rFonts w:asciiTheme="majorHAnsi" w:hAnsiTheme="majorHAnsi" w:cstheme="majorHAnsi"/>
          <w:color w:val="2E74B5" w:themeColor="accent5" w:themeShade="BF"/>
          <w:lang w:val="el-GR"/>
        </w:rPr>
        <w:t>μεΑ</w:t>
      </w:r>
      <w:proofErr w:type="spellEnd"/>
      <w:r w:rsidRPr="0001190B">
        <w:rPr>
          <w:rFonts w:asciiTheme="majorHAnsi" w:hAnsiTheme="majorHAnsi" w:cstheme="majorHAnsi"/>
          <w:color w:val="2E74B5" w:themeColor="accent5" w:themeShade="BF"/>
        </w:rPr>
        <w:t>.</w:t>
      </w:r>
    </w:p>
    <w:p w14:paraId="461FF723" w14:textId="21A1273B" w:rsidR="000448C1" w:rsidRDefault="000448C1">
      <w:pPr>
        <w:spacing w:after="0" w:line="240" w:lineRule="auto"/>
        <w:rPr>
          <w:highlight w:val="yellow"/>
        </w:rPr>
      </w:pPr>
      <w:r>
        <w:rPr>
          <w:highlight w:val="yellow"/>
        </w:rPr>
        <w:br w:type="page"/>
      </w:r>
    </w:p>
    <w:p w14:paraId="278B16AB" w14:textId="77777777" w:rsidR="003D48AE" w:rsidRDefault="009C010A" w:rsidP="000448C1">
      <w:pPr>
        <w:pStyle w:val="Heading2"/>
        <w:tabs>
          <w:tab w:val="left" w:pos="360"/>
        </w:tabs>
        <w:spacing w:before="360" w:after="240"/>
        <w:ind w:left="426" w:right="-142" w:hanging="426"/>
      </w:pPr>
      <w:bookmarkStart w:id="15" w:name="_Toc29349"/>
      <w:bookmarkEnd w:id="6"/>
      <w:r>
        <w:lastRenderedPageBreak/>
        <w:t>Αποτελεσματικότητα των κοινωνικών παροχών στη μείωση της φτώχειας</w:t>
      </w:r>
      <w:bookmarkEnd w:id="15"/>
    </w:p>
    <w:p w14:paraId="1DF16215" w14:textId="6E7622B8" w:rsidR="003D48AE" w:rsidRPr="0001190B" w:rsidRDefault="009C010A">
      <w:pPr>
        <w:jc w:val="both"/>
        <w:rPr>
          <w:sz w:val="24"/>
          <w:szCs w:val="24"/>
          <w:lang w:val="el-GR" w:eastAsia="de-DE"/>
        </w:rPr>
      </w:pPr>
      <w:r>
        <w:rPr>
          <w:sz w:val="24"/>
          <w:szCs w:val="24"/>
          <w:lang w:val="el-GR" w:eastAsia="de-DE"/>
        </w:rPr>
        <w:t>Ο δείκτης της Eurostat «Επίδραση των κοινωνικών μεταβιβάσεων στη μείωση της φτώχειας», μετρά το πόσο συμβάλλουν οι κοινωνικές παροχές στη μείωση της φτώχειας, χωρίς να λαμβάνονται υπόψη οι συντάξεις. Ο δείκτης συγκρίνει το ποσοστό φτώχειας ή/και κοινωνικού αποκλεισμού πριν από τις κοινωνικές μεταβιβάσεις (δηλαδή, με εισόδημα μόνο από εργασία ή άλλες πηγές) και μετά από τις κοινωνικές μεταβιβάσεις (δηλαδή, όταν προστεθούν τα κοινωνικά επιδόματα, εξαιρουμένων των συντάξεων).</w:t>
      </w:r>
    </w:p>
    <w:p w14:paraId="504C8FCD" w14:textId="4ACCC152" w:rsidR="003D48AE" w:rsidRDefault="009C010A">
      <w:pPr>
        <w:jc w:val="both"/>
        <w:rPr>
          <w:sz w:val="24"/>
          <w:szCs w:val="24"/>
          <w:lang w:val="el-GR" w:eastAsia="de-DE"/>
        </w:rPr>
      </w:pPr>
      <w:r>
        <w:rPr>
          <w:sz w:val="24"/>
          <w:szCs w:val="24"/>
          <w:lang w:val="el-GR" w:eastAsia="de-DE"/>
        </w:rPr>
        <w:t>Το 2024, η</w:t>
      </w:r>
      <w:r w:rsidR="001E1CA2">
        <w:rPr>
          <w:sz w:val="24"/>
          <w:szCs w:val="24"/>
          <w:lang w:val="el-GR" w:eastAsia="de-DE"/>
        </w:rPr>
        <w:t xml:space="preserve"> </w:t>
      </w:r>
      <w:r>
        <w:rPr>
          <w:sz w:val="24"/>
          <w:szCs w:val="24"/>
          <w:lang w:val="el-GR" w:eastAsia="de-DE"/>
        </w:rPr>
        <w:t>Ελλάδα καταγράφει τη χαμηλότερη τιμή στον δείκτη που υπολογίστηκε σε 16,6, όταν σε επίπεδο Ε</w:t>
      </w:r>
      <w:r w:rsidR="000448C1" w:rsidRPr="0001190B">
        <w:rPr>
          <w:sz w:val="24"/>
          <w:szCs w:val="24"/>
          <w:lang w:val="el-GR" w:eastAsia="de-DE"/>
        </w:rPr>
        <w:t>.</w:t>
      </w:r>
      <w:r>
        <w:rPr>
          <w:sz w:val="24"/>
          <w:szCs w:val="24"/>
          <w:lang w:val="el-GR" w:eastAsia="de-DE"/>
        </w:rPr>
        <w:t>Ε</w:t>
      </w:r>
      <w:r w:rsidR="000448C1" w:rsidRPr="0001190B">
        <w:rPr>
          <w:sz w:val="24"/>
          <w:szCs w:val="24"/>
          <w:lang w:val="el-GR" w:eastAsia="de-DE"/>
        </w:rPr>
        <w:t>.</w:t>
      </w:r>
      <w:r>
        <w:rPr>
          <w:sz w:val="24"/>
          <w:szCs w:val="24"/>
          <w:lang w:val="el-GR" w:eastAsia="de-DE"/>
        </w:rPr>
        <w:t xml:space="preserve"> καταγράφεται τιμή υπερδιπλάσια, που ανέρχεται σε 34,4.</w:t>
      </w:r>
    </w:p>
    <w:p w14:paraId="243592F3" w14:textId="112C215E" w:rsidR="003D48AE" w:rsidRDefault="009C010A" w:rsidP="000448C1">
      <w:pPr>
        <w:pStyle w:val="Caption"/>
        <w:spacing w:before="240" w:after="120"/>
        <w:ind w:left="284"/>
        <w:jc w:val="center"/>
        <w:rPr>
          <w:rFonts w:asciiTheme="majorHAnsi" w:hAnsiTheme="majorHAnsi" w:cstheme="majorHAnsi"/>
          <w:i w:val="0"/>
          <w:iCs w:val="0"/>
          <w:color w:val="2E74B5" w:themeColor="accent5" w:themeShade="BF"/>
          <w:sz w:val="24"/>
          <w:szCs w:val="24"/>
          <w:lang w:val="el-GR"/>
        </w:rPr>
      </w:pPr>
      <w:bookmarkStart w:id="16" w:name="_Toc201687252"/>
      <w:r w:rsidRPr="000448C1">
        <w:rPr>
          <w:rFonts w:asciiTheme="majorHAnsi" w:hAnsiTheme="majorHAnsi" w:cstheme="majorHAnsi"/>
          <w:b/>
          <w:bCs/>
          <w:i w:val="0"/>
          <w:iCs w:val="0"/>
          <w:color w:val="2E74B5" w:themeColor="accent5" w:themeShade="BF"/>
          <w:sz w:val="24"/>
          <w:szCs w:val="24"/>
          <w:lang w:val="el-GR"/>
        </w:rPr>
        <w:t xml:space="preserve">Γράφημα </w:t>
      </w:r>
      <w:r w:rsidRPr="000448C1">
        <w:rPr>
          <w:rFonts w:asciiTheme="majorHAnsi" w:hAnsiTheme="majorHAnsi" w:cstheme="majorHAnsi"/>
          <w:b/>
          <w:bCs/>
          <w:i w:val="0"/>
          <w:iCs w:val="0"/>
          <w:color w:val="2E74B5" w:themeColor="accent5" w:themeShade="BF"/>
          <w:sz w:val="24"/>
          <w:szCs w:val="24"/>
          <w:lang w:val="el-GR"/>
        </w:rPr>
        <w:fldChar w:fldCharType="begin"/>
      </w:r>
      <w:r w:rsidRPr="000448C1">
        <w:rPr>
          <w:rFonts w:asciiTheme="majorHAnsi" w:hAnsiTheme="majorHAnsi" w:cstheme="majorHAnsi"/>
          <w:b/>
          <w:bCs/>
          <w:i w:val="0"/>
          <w:iCs w:val="0"/>
          <w:color w:val="2E74B5" w:themeColor="accent5" w:themeShade="BF"/>
          <w:sz w:val="24"/>
          <w:szCs w:val="24"/>
          <w:lang w:val="el-GR"/>
        </w:rPr>
        <w:instrText xml:space="preserve"> SEQ Γράφημα \* ARABIC </w:instrText>
      </w:r>
      <w:r w:rsidRPr="000448C1">
        <w:rPr>
          <w:rFonts w:asciiTheme="majorHAnsi" w:hAnsiTheme="majorHAnsi" w:cstheme="majorHAnsi"/>
          <w:b/>
          <w:bCs/>
          <w:i w:val="0"/>
          <w:iCs w:val="0"/>
          <w:color w:val="2E74B5" w:themeColor="accent5" w:themeShade="BF"/>
          <w:sz w:val="24"/>
          <w:szCs w:val="24"/>
          <w:lang w:val="el-GR"/>
        </w:rPr>
        <w:fldChar w:fldCharType="separate"/>
      </w:r>
      <w:r w:rsidRPr="000448C1">
        <w:rPr>
          <w:rFonts w:asciiTheme="majorHAnsi" w:hAnsiTheme="majorHAnsi" w:cstheme="majorHAnsi"/>
          <w:b/>
          <w:bCs/>
          <w:i w:val="0"/>
          <w:iCs w:val="0"/>
          <w:color w:val="2E74B5" w:themeColor="accent5" w:themeShade="BF"/>
          <w:sz w:val="24"/>
          <w:szCs w:val="24"/>
          <w:lang w:val="el-GR"/>
        </w:rPr>
        <w:t>4</w:t>
      </w:r>
      <w:r w:rsidRPr="000448C1">
        <w:rPr>
          <w:rFonts w:asciiTheme="majorHAnsi" w:hAnsiTheme="majorHAnsi" w:cstheme="majorHAnsi"/>
          <w:b/>
          <w:bCs/>
          <w:i w:val="0"/>
          <w:iCs w:val="0"/>
          <w:color w:val="2E74B5" w:themeColor="accent5" w:themeShade="BF"/>
          <w:sz w:val="24"/>
          <w:szCs w:val="24"/>
          <w:lang w:val="el-GR"/>
        </w:rPr>
        <w:fldChar w:fldCharType="end"/>
      </w:r>
      <w:r>
        <w:rPr>
          <w:rFonts w:asciiTheme="majorHAnsi" w:hAnsiTheme="majorHAnsi" w:cstheme="majorHAnsi"/>
          <w:i w:val="0"/>
          <w:iCs w:val="0"/>
          <w:color w:val="2E74B5" w:themeColor="accent5" w:themeShade="BF"/>
          <w:sz w:val="24"/>
          <w:szCs w:val="24"/>
          <w:lang w:val="el-GR"/>
        </w:rPr>
        <w:t xml:space="preserve">: Δείκτης Επίδρασης των κοινωνικών μεταβιβάσεων </w:t>
      </w:r>
      <w:r w:rsidR="000448C1" w:rsidRPr="0001190B">
        <w:rPr>
          <w:rFonts w:asciiTheme="majorHAnsi" w:hAnsiTheme="majorHAnsi" w:cstheme="majorHAnsi"/>
          <w:i w:val="0"/>
          <w:iCs w:val="0"/>
          <w:color w:val="2E74B5" w:themeColor="accent5" w:themeShade="BF"/>
          <w:sz w:val="24"/>
          <w:szCs w:val="24"/>
          <w:lang w:val="el-GR"/>
        </w:rPr>
        <w:br/>
      </w:r>
      <w:r>
        <w:rPr>
          <w:rFonts w:asciiTheme="majorHAnsi" w:hAnsiTheme="majorHAnsi" w:cstheme="majorHAnsi"/>
          <w:i w:val="0"/>
          <w:iCs w:val="0"/>
          <w:color w:val="2E74B5" w:themeColor="accent5" w:themeShade="BF"/>
          <w:sz w:val="24"/>
          <w:szCs w:val="24"/>
          <w:lang w:val="el-GR"/>
        </w:rPr>
        <w:t>(εξαιρουμένων των συντάξεων) στη μείωση της φτώχειας (2024)</w:t>
      </w:r>
      <w:bookmarkEnd w:id="16"/>
    </w:p>
    <w:p w14:paraId="36534833" w14:textId="75E7E22D" w:rsidR="003D48AE" w:rsidRDefault="000448C1" w:rsidP="000448C1">
      <w:r>
        <w:rPr>
          <w:noProof/>
          <w:lang w:val="el-GR" w:eastAsia="el-GR"/>
        </w:rPr>
        <w:drawing>
          <wp:inline distT="0" distB="0" distL="0" distR="0" wp14:anchorId="5BDCBFE6" wp14:editId="4702998C">
            <wp:extent cx="5579745" cy="5206365"/>
            <wp:effectExtent l="0" t="0" r="1905" b="0"/>
            <wp:docPr id="1566264068" name="Chart 1" descr="Ελλάδα: 16,6&#10;Ρουμανία: 18,8&#10;Λετονία: 21,45&#10;Κροατία: 21,62&#10;Πορτογαλία: 22,43&#10;Ισπανία: 23,94&#10;Λιθουανία: 25,86&#10;Μάλτα: 25,99&#10;Λουξεμβούργο: 27,02&#10;Βουλγαρία: 27,67&#10;Κύπρος: 30,48&#10;Ιταλία: 31,27&#10;Εσθονία: 31,53&#10;ΕΕ-27: 34,41&#10;Ουγγαρία: 34,96&#10;Γερμανία: 35,68&#10;Σλοβακία: 36,68&#10;Σλοβενία: 37,74&#10;Γαλλία: 38,85&#10;Σουηδία: 40,56&#10;Τσεχία: 40,63&#10;Αυστρία: 40,66&#10;Ολλανδία: 40,98&#10;Πολωνία: 41,53&#10;Φινλανδία: 46,38&#10;Δανία: 50,43&#10;Βέλγιο: 52,67&#10;Ιρλανδία: 52,87">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905B11" w14:textId="0C44FC65" w:rsidR="003D48AE" w:rsidRPr="000448C1" w:rsidRDefault="009C010A" w:rsidP="000448C1">
      <w:pPr>
        <w:pStyle w:val="Caption"/>
        <w:spacing w:after="240"/>
        <w:jc w:val="center"/>
        <w:rPr>
          <w:rFonts w:asciiTheme="majorHAnsi" w:hAnsiTheme="majorHAnsi" w:cstheme="majorHAnsi"/>
          <w:color w:val="2E74B5" w:themeColor="accent5" w:themeShade="BF"/>
          <w:lang w:val="el-GR"/>
        </w:rPr>
      </w:pPr>
      <w:r w:rsidRPr="005F7C51">
        <w:rPr>
          <w:rFonts w:asciiTheme="majorHAnsi" w:hAnsiTheme="majorHAnsi" w:cstheme="majorHAnsi"/>
          <w:b/>
          <w:bCs/>
          <w:color w:val="2E74B5" w:themeColor="accent5" w:themeShade="BF"/>
          <w:lang w:val="el-GR"/>
        </w:rPr>
        <w:t>Πηγή</w:t>
      </w:r>
      <w:r>
        <w:rPr>
          <w:rFonts w:asciiTheme="majorHAnsi" w:hAnsiTheme="majorHAnsi" w:cstheme="majorHAnsi"/>
          <w:color w:val="2E74B5" w:themeColor="accent5" w:themeShade="BF"/>
          <w:lang w:val="el-GR"/>
        </w:rPr>
        <w:t xml:space="preserve"> : Eurostat (2024)</w:t>
      </w:r>
      <w:r w:rsidR="000448C1" w:rsidRPr="0001190B">
        <w:rPr>
          <w:rFonts w:asciiTheme="majorHAnsi" w:hAnsiTheme="majorHAnsi" w:cstheme="majorHAnsi"/>
          <w:color w:val="2E74B5" w:themeColor="accent5" w:themeShade="BF"/>
          <w:lang w:val="el-GR"/>
        </w:rPr>
        <w:t xml:space="preserve"> </w:t>
      </w:r>
      <w:r>
        <w:rPr>
          <w:rFonts w:asciiTheme="majorHAnsi" w:hAnsiTheme="majorHAnsi" w:cstheme="majorHAnsi"/>
          <w:color w:val="2E74B5" w:themeColor="accent5" w:themeShade="BF"/>
          <w:lang w:val="el-GR"/>
        </w:rPr>
        <w:t>/</w:t>
      </w:r>
      <w:r w:rsidR="000448C1">
        <w:rPr>
          <w:rFonts w:asciiTheme="majorHAnsi" w:hAnsiTheme="majorHAnsi" w:cstheme="majorHAnsi"/>
          <w:color w:val="2E74B5" w:themeColor="accent5" w:themeShade="BF"/>
          <w:lang w:val="el-GR"/>
        </w:rPr>
        <w:t xml:space="preserve"> </w:t>
      </w:r>
      <w:r w:rsidR="000448C1" w:rsidRPr="005F7C51">
        <w:rPr>
          <w:rFonts w:asciiTheme="majorHAnsi" w:hAnsiTheme="majorHAnsi" w:cstheme="majorHAnsi"/>
          <w:b/>
          <w:bCs/>
          <w:color w:val="2E74B5" w:themeColor="accent5" w:themeShade="BF"/>
          <w:lang w:val="el-GR"/>
        </w:rPr>
        <w:t>Επεξεργασία</w:t>
      </w:r>
      <w:r>
        <w:rPr>
          <w:rFonts w:asciiTheme="majorHAnsi" w:hAnsiTheme="majorHAnsi" w:cstheme="majorHAnsi"/>
          <w:color w:val="2E74B5" w:themeColor="accent5" w:themeShade="BF"/>
          <w:lang w:val="el-GR"/>
        </w:rPr>
        <w:t>: Παρατηρητήριο Θεμάτων Αναπηρίας-Ε.Σ.Α.μεΑ.</w:t>
      </w:r>
    </w:p>
    <w:p w14:paraId="4102722B" w14:textId="77777777" w:rsidR="003D48AE" w:rsidRDefault="009C010A" w:rsidP="000448C1">
      <w:pPr>
        <w:pStyle w:val="Heading2"/>
        <w:tabs>
          <w:tab w:val="left" w:pos="360"/>
        </w:tabs>
        <w:spacing w:before="360" w:after="240"/>
        <w:ind w:left="426" w:right="-142" w:hanging="426"/>
      </w:pPr>
      <w:bookmarkStart w:id="17" w:name="_Toc30464"/>
      <w:r>
        <w:lastRenderedPageBreak/>
        <w:t>Κατανομή παροχών κοινωνικής προστασίας ανά λειτουργία</w:t>
      </w:r>
      <w:bookmarkEnd w:id="17"/>
    </w:p>
    <w:p w14:paraId="15E2B10B" w14:textId="77777777" w:rsidR="003D48AE" w:rsidRDefault="009C010A">
      <w:pPr>
        <w:jc w:val="both"/>
        <w:rPr>
          <w:sz w:val="24"/>
          <w:szCs w:val="24"/>
          <w:lang w:val="el-GR"/>
        </w:rPr>
      </w:pPr>
      <w:r>
        <w:rPr>
          <w:sz w:val="24"/>
          <w:szCs w:val="24"/>
          <w:lang w:val="el-GR"/>
        </w:rPr>
        <w:t xml:space="preserve">Οι (ακαθάριστες) παροχές κοινωνικής προστασίας ανήλθαν το 2022 σε 49.614 εκατ. Ευρώ. Στην Ελλάδα, το 51,8% του συνόλου των παροχών αφορά στην προστασία του γήρατος (δηλαδή σε συντάξεις γήρατος), ποσοστό το οποίο είναι το υψηλότερο μεταξύ των χωρών της Ευρώπης, όντας 11 μονάδες πάνω από το μέσο όρο της Ε.Ε. (ΕΕ-27: 40,65%). </w:t>
      </w:r>
    </w:p>
    <w:p w14:paraId="34AEA92C" w14:textId="77777777" w:rsidR="003D48AE" w:rsidRDefault="009C010A">
      <w:pPr>
        <w:jc w:val="both"/>
        <w:rPr>
          <w:sz w:val="24"/>
          <w:szCs w:val="24"/>
          <w:lang w:val="el-GR"/>
        </w:rPr>
      </w:pPr>
      <w:r>
        <w:rPr>
          <w:sz w:val="24"/>
          <w:szCs w:val="24"/>
          <w:lang w:val="el-GR"/>
        </w:rPr>
        <w:t>Το 22,9% των δαπανών για παροχές κοινωνικής προστασίας δαπανήθηκε για την προστασία της ασθένειας, το 9,9% για την προστασία της χηρείας και το 5,6% αφορά σε κοινωνικές παροχές για την οικογένεια.</w:t>
      </w:r>
    </w:p>
    <w:p w14:paraId="2B9CBCFA" w14:textId="77777777" w:rsidR="003D48AE" w:rsidRDefault="009C010A">
      <w:pPr>
        <w:jc w:val="both"/>
        <w:rPr>
          <w:sz w:val="24"/>
          <w:szCs w:val="24"/>
          <w:lang w:val="el-GR"/>
        </w:rPr>
      </w:pPr>
      <w:r>
        <w:rPr>
          <w:sz w:val="24"/>
          <w:szCs w:val="24"/>
          <w:lang w:val="el-GR"/>
        </w:rPr>
        <w:t>Οι δαπάνες για κοινωνικές παροχές για την αναπηρία ανέρχονται σε 1.901 εκατ. Ευρώ, καταλαμβάνοντας μόλις το 3,8% των δαπανών κοινωνικής προστασίας.</w:t>
      </w:r>
    </w:p>
    <w:p w14:paraId="370A7AF1" w14:textId="77777777" w:rsidR="003D48AE" w:rsidRDefault="009C010A">
      <w:pPr>
        <w:pStyle w:val="Caption"/>
        <w:spacing w:before="360" w:after="120"/>
        <w:ind w:right="-2"/>
        <w:jc w:val="center"/>
        <w:rPr>
          <w:rFonts w:asciiTheme="majorHAnsi" w:hAnsiTheme="majorHAnsi" w:cstheme="majorHAnsi"/>
          <w:i w:val="0"/>
          <w:iCs w:val="0"/>
          <w:color w:val="2E74B5" w:themeColor="accent5" w:themeShade="BF"/>
          <w:sz w:val="24"/>
          <w:szCs w:val="24"/>
          <w:lang w:val="el-GR"/>
        </w:rPr>
      </w:pPr>
      <w:bookmarkStart w:id="18" w:name="_Hlk165372181"/>
      <w:r w:rsidRPr="00C220AE">
        <w:rPr>
          <w:rFonts w:asciiTheme="majorHAnsi" w:hAnsiTheme="majorHAnsi" w:cstheme="majorHAnsi"/>
          <w:b/>
          <w:bCs/>
          <w:i w:val="0"/>
          <w:iCs w:val="0"/>
          <w:color w:val="2E74B5" w:themeColor="accent5" w:themeShade="BF"/>
          <w:sz w:val="24"/>
          <w:szCs w:val="24"/>
          <w:lang w:val="el-GR"/>
        </w:rPr>
        <w:t xml:space="preserve">Πίνακας </w:t>
      </w:r>
      <w:r w:rsidRPr="00C220AE">
        <w:rPr>
          <w:rFonts w:asciiTheme="majorHAnsi" w:hAnsiTheme="majorHAnsi" w:cstheme="majorHAnsi"/>
          <w:b/>
          <w:bCs/>
          <w:i w:val="0"/>
          <w:iCs w:val="0"/>
          <w:color w:val="2E74B5" w:themeColor="accent5" w:themeShade="BF"/>
          <w:sz w:val="24"/>
          <w:szCs w:val="24"/>
          <w:lang w:val="el-GR"/>
        </w:rPr>
        <w:fldChar w:fldCharType="begin"/>
      </w:r>
      <w:r w:rsidRPr="00C220AE">
        <w:rPr>
          <w:rFonts w:asciiTheme="majorHAnsi" w:hAnsiTheme="majorHAnsi" w:cstheme="majorHAnsi"/>
          <w:b/>
          <w:bCs/>
          <w:i w:val="0"/>
          <w:iCs w:val="0"/>
          <w:color w:val="2E74B5" w:themeColor="accent5" w:themeShade="BF"/>
          <w:sz w:val="24"/>
          <w:szCs w:val="24"/>
          <w:lang w:val="el-GR"/>
        </w:rPr>
        <w:instrText xml:space="preserve"> SEQ Πίνακας \* ARABIC </w:instrText>
      </w:r>
      <w:r w:rsidRPr="00C220AE">
        <w:rPr>
          <w:rFonts w:asciiTheme="majorHAnsi" w:hAnsiTheme="majorHAnsi" w:cstheme="majorHAnsi"/>
          <w:b/>
          <w:bCs/>
          <w:i w:val="0"/>
          <w:iCs w:val="0"/>
          <w:color w:val="2E74B5" w:themeColor="accent5" w:themeShade="BF"/>
          <w:sz w:val="24"/>
          <w:szCs w:val="24"/>
          <w:lang w:val="el-GR"/>
        </w:rPr>
        <w:fldChar w:fldCharType="separate"/>
      </w:r>
      <w:r w:rsidRPr="00C220AE">
        <w:rPr>
          <w:rFonts w:asciiTheme="majorHAnsi" w:hAnsiTheme="majorHAnsi" w:cstheme="majorHAnsi"/>
          <w:b/>
          <w:bCs/>
          <w:i w:val="0"/>
          <w:iCs w:val="0"/>
          <w:color w:val="2E74B5" w:themeColor="accent5" w:themeShade="BF"/>
          <w:sz w:val="24"/>
          <w:szCs w:val="24"/>
          <w:lang w:val="el-GR"/>
        </w:rPr>
        <w:t>1</w:t>
      </w:r>
      <w:r w:rsidRPr="00C220AE">
        <w:rPr>
          <w:rFonts w:asciiTheme="majorHAnsi" w:hAnsiTheme="majorHAnsi" w:cstheme="majorHAnsi"/>
          <w:b/>
          <w:bCs/>
          <w:i w:val="0"/>
          <w:iCs w:val="0"/>
          <w:color w:val="2E74B5" w:themeColor="accent5" w:themeShade="BF"/>
          <w:sz w:val="24"/>
          <w:szCs w:val="24"/>
          <w:lang w:val="el-GR"/>
        </w:rPr>
        <w:fldChar w:fldCharType="end"/>
      </w:r>
      <w:r>
        <w:rPr>
          <w:rFonts w:asciiTheme="majorHAnsi" w:hAnsiTheme="majorHAnsi" w:cstheme="majorHAnsi"/>
          <w:i w:val="0"/>
          <w:iCs w:val="0"/>
          <w:color w:val="2E74B5" w:themeColor="accent5" w:themeShade="BF"/>
          <w:sz w:val="24"/>
          <w:szCs w:val="24"/>
          <w:lang w:val="el-GR"/>
        </w:rPr>
        <w:t xml:space="preserve">: ΑΝΑΛΥΤΙΚΕΣ ΠΑΡΟΧΕΣ ΚΟΙΝΩΝΙΚΗΣ ΠΡΟΣΤΑΣΙΑΣ ΜΕ ΤΟ ΣΥΣΤΗΜΑ </w:t>
      </w:r>
      <w:r>
        <w:rPr>
          <w:rFonts w:asciiTheme="majorHAnsi" w:hAnsiTheme="majorHAnsi" w:cstheme="majorHAnsi"/>
          <w:i w:val="0"/>
          <w:iCs w:val="0"/>
          <w:color w:val="2E74B5" w:themeColor="accent5" w:themeShade="BF"/>
          <w:sz w:val="24"/>
          <w:szCs w:val="24"/>
          <w:lang w:val="el-GR"/>
        </w:rPr>
        <w:br/>
        <w:t>ESSPROS - ΕΤΟΣ 2022 (σε εκατομμύρια €)</w:t>
      </w:r>
    </w:p>
    <w:tbl>
      <w:tblPr>
        <w:tblW w:w="7938" w:type="dxa"/>
        <w:jc w:val="center"/>
        <w:tblLook w:val="04A0" w:firstRow="1" w:lastRow="0" w:firstColumn="1" w:lastColumn="0" w:noHBand="0" w:noVBand="1"/>
        <w:tblCaption w:val="Δαπάνες Κοινωνικής Προστασίας με το Σύστημα Esspros  (σε εκατομμύρια €) -ΕΤΟΣ 2017"/>
        <w:tblDescription w:val="9.133, ήτοι 20,4% στο σύνολο δαπνών&#10;2.658, ήτοι 5,9% στο σύνολο δαπνών&#10;23.881, ήτοι 53,2% στο σύνολο δαπνών&#10;4.321, ήτοι 9,6% στο σύνολο δαπνών&#10;2.539, ήτοι 5,7% στο σύνολο δαπνών&#10;1.662, ήτοι 3,7% στο σύνολο δαπνών&#10;663, ήτοι 1,5% στο σύνολο δαπνών&#10;44.857, ήτοι 100,0% στο σύνολο δαπνών"/>
      </w:tblPr>
      <w:tblGrid>
        <w:gridCol w:w="2960"/>
        <w:gridCol w:w="2143"/>
        <w:gridCol w:w="2835"/>
      </w:tblGrid>
      <w:tr w:rsidR="003D48AE" w:rsidRPr="0001190B" w14:paraId="6FEB9F9F" w14:textId="77777777" w:rsidTr="00C220AE">
        <w:trPr>
          <w:trHeight w:val="527"/>
          <w:jc w:val="center"/>
        </w:trPr>
        <w:tc>
          <w:tcPr>
            <w:tcW w:w="2960" w:type="dxa"/>
            <w:tcBorders>
              <w:bottom w:val="single" w:sz="4" w:space="0" w:color="404040" w:themeColor="text1" w:themeTint="BF"/>
            </w:tcBorders>
            <w:shd w:val="clear" w:color="auto" w:fill="auto"/>
            <w:noWrap/>
            <w:vAlign w:val="bottom"/>
          </w:tcPr>
          <w:p w14:paraId="281B4B44" w14:textId="77777777" w:rsidR="003D48AE" w:rsidRPr="00E92831" w:rsidRDefault="009C010A" w:rsidP="00C220AE">
            <w:pPr>
              <w:spacing w:after="80" w:line="240" w:lineRule="auto"/>
              <w:rPr>
                <w:rFonts w:asciiTheme="majorHAnsi" w:hAnsiTheme="majorHAnsi" w:cstheme="majorHAnsi"/>
                <w:b/>
                <w:lang w:val="el-GR"/>
              </w:rPr>
            </w:pPr>
            <w:r w:rsidRPr="00E92831">
              <w:rPr>
                <w:rFonts w:asciiTheme="majorHAnsi" w:hAnsiTheme="majorHAnsi" w:cstheme="majorHAnsi"/>
                <w:b/>
                <w:lang w:val="el-GR"/>
              </w:rPr>
              <w:t>Λειτουργίες</w:t>
            </w:r>
          </w:p>
        </w:tc>
        <w:tc>
          <w:tcPr>
            <w:tcW w:w="2143" w:type="dxa"/>
            <w:tcBorders>
              <w:bottom w:val="single" w:sz="4" w:space="0" w:color="404040" w:themeColor="text1" w:themeTint="BF"/>
            </w:tcBorders>
            <w:shd w:val="clear" w:color="auto" w:fill="auto"/>
            <w:vAlign w:val="bottom"/>
          </w:tcPr>
          <w:p w14:paraId="3A232FC4" w14:textId="7C10062E" w:rsidR="003D48AE" w:rsidRPr="00E92831" w:rsidRDefault="009C010A" w:rsidP="00C220AE">
            <w:pPr>
              <w:spacing w:after="80" w:line="240" w:lineRule="auto"/>
              <w:rPr>
                <w:rFonts w:asciiTheme="majorHAnsi" w:hAnsiTheme="majorHAnsi" w:cstheme="majorHAnsi"/>
                <w:b/>
              </w:rPr>
            </w:pPr>
            <w:r w:rsidRPr="00E92831">
              <w:rPr>
                <w:rFonts w:asciiTheme="majorHAnsi" w:hAnsiTheme="majorHAnsi" w:cstheme="majorHAnsi"/>
                <w:b/>
              </w:rPr>
              <w:t>ΑΝΑ ΛΕΙΤΟΥΡΓΙΑ</w:t>
            </w:r>
          </w:p>
        </w:tc>
        <w:tc>
          <w:tcPr>
            <w:tcW w:w="2835" w:type="dxa"/>
            <w:tcBorders>
              <w:bottom w:val="single" w:sz="4" w:space="0" w:color="404040" w:themeColor="text1" w:themeTint="BF"/>
            </w:tcBorders>
            <w:shd w:val="clear" w:color="auto" w:fill="auto"/>
            <w:vAlign w:val="bottom"/>
          </w:tcPr>
          <w:p w14:paraId="72EC57A7" w14:textId="77777777" w:rsidR="003D48AE" w:rsidRPr="00E92831" w:rsidRDefault="009C010A" w:rsidP="00C220AE">
            <w:pPr>
              <w:spacing w:after="80" w:line="240" w:lineRule="auto"/>
              <w:rPr>
                <w:rFonts w:asciiTheme="majorHAnsi" w:hAnsiTheme="majorHAnsi" w:cstheme="majorHAnsi"/>
                <w:b/>
                <w:lang w:val="el-GR"/>
              </w:rPr>
            </w:pPr>
            <w:r w:rsidRPr="00E92831">
              <w:rPr>
                <w:rFonts w:asciiTheme="majorHAnsi" w:hAnsiTheme="majorHAnsi" w:cstheme="majorHAnsi"/>
                <w:b/>
                <w:lang w:val="el-GR"/>
              </w:rPr>
              <w:t>% ΣΤΟ ΣΥΝΟΛΟ ΤΩΝ ΠΑΡΟΧΩΝ ΚΟΙΝΩΝΙΚΗΣ ΠΡΟΣΤΑΣΙΑΣ</w:t>
            </w:r>
          </w:p>
        </w:tc>
      </w:tr>
      <w:tr w:rsidR="003D48AE" w14:paraId="0BEDABC9" w14:textId="77777777" w:rsidTr="00C220AE">
        <w:trPr>
          <w:trHeight w:val="527"/>
          <w:jc w:val="center"/>
        </w:trPr>
        <w:tc>
          <w:tcPr>
            <w:tcW w:w="2960" w:type="dxa"/>
            <w:tcBorders>
              <w:top w:val="single" w:sz="4" w:space="0" w:color="404040" w:themeColor="text1" w:themeTint="BF"/>
            </w:tcBorders>
            <w:shd w:val="clear" w:color="auto" w:fill="F2F2F2" w:themeFill="background1" w:themeFillShade="F2"/>
            <w:noWrap/>
            <w:vAlign w:val="bottom"/>
          </w:tcPr>
          <w:p w14:paraId="3D577DA4" w14:textId="67FFEA16" w:rsidR="003D48AE" w:rsidRPr="00E92831" w:rsidRDefault="009C010A">
            <w:pPr>
              <w:rPr>
                <w:rFonts w:asciiTheme="majorHAnsi" w:hAnsiTheme="majorHAnsi" w:cstheme="majorHAnsi"/>
                <w:bCs/>
                <w:lang w:val="el-GR"/>
              </w:rPr>
            </w:pPr>
            <w:r w:rsidRPr="00E92831">
              <w:rPr>
                <w:rFonts w:asciiTheme="majorHAnsi" w:hAnsiTheme="majorHAnsi" w:cstheme="majorHAnsi"/>
                <w:bCs/>
                <w:lang w:val="el-GR"/>
              </w:rPr>
              <w:t>Ασθένεια</w:t>
            </w:r>
          </w:p>
        </w:tc>
        <w:tc>
          <w:tcPr>
            <w:tcW w:w="2143" w:type="dxa"/>
            <w:tcBorders>
              <w:top w:val="single" w:sz="4" w:space="0" w:color="404040" w:themeColor="text1" w:themeTint="BF"/>
            </w:tcBorders>
            <w:shd w:val="clear" w:color="auto" w:fill="F2F2F2" w:themeFill="background1" w:themeFillShade="F2"/>
            <w:vAlign w:val="bottom"/>
          </w:tcPr>
          <w:p w14:paraId="607BBF30" w14:textId="77777777" w:rsidR="003D48AE" w:rsidRPr="00E92831" w:rsidRDefault="009C010A">
            <w:pPr>
              <w:rPr>
                <w:rFonts w:asciiTheme="majorHAnsi" w:hAnsiTheme="majorHAnsi" w:cstheme="majorHAnsi"/>
              </w:rPr>
            </w:pPr>
            <w:r w:rsidRPr="00E92831">
              <w:rPr>
                <w:rFonts w:asciiTheme="majorHAnsi" w:hAnsiTheme="majorHAnsi" w:cstheme="majorHAnsi"/>
              </w:rPr>
              <w:t>11.342</w:t>
            </w:r>
          </w:p>
        </w:tc>
        <w:tc>
          <w:tcPr>
            <w:tcW w:w="2835" w:type="dxa"/>
            <w:tcBorders>
              <w:top w:val="single" w:sz="4" w:space="0" w:color="404040" w:themeColor="text1" w:themeTint="BF"/>
            </w:tcBorders>
            <w:shd w:val="clear" w:color="auto" w:fill="F2F2F2" w:themeFill="background1" w:themeFillShade="F2"/>
            <w:vAlign w:val="bottom"/>
          </w:tcPr>
          <w:p w14:paraId="066280A3" w14:textId="77777777" w:rsidR="003D48AE" w:rsidRPr="00E92831" w:rsidRDefault="009C010A">
            <w:pPr>
              <w:rPr>
                <w:rFonts w:asciiTheme="majorHAnsi" w:hAnsiTheme="majorHAnsi" w:cstheme="majorHAnsi"/>
                <w:lang w:val="el-GR"/>
              </w:rPr>
            </w:pPr>
            <w:r w:rsidRPr="00E92831">
              <w:rPr>
                <w:rFonts w:asciiTheme="majorHAnsi" w:hAnsiTheme="majorHAnsi" w:cstheme="majorHAnsi"/>
                <w:lang w:val="el-GR"/>
              </w:rPr>
              <w:t>22,9%</w:t>
            </w:r>
          </w:p>
        </w:tc>
      </w:tr>
      <w:tr w:rsidR="003D48AE" w14:paraId="549838D0" w14:textId="77777777" w:rsidTr="00C220AE">
        <w:trPr>
          <w:trHeight w:val="527"/>
          <w:jc w:val="center"/>
        </w:trPr>
        <w:tc>
          <w:tcPr>
            <w:tcW w:w="2960" w:type="dxa"/>
            <w:shd w:val="clear" w:color="auto" w:fill="auto"/>
            <w:noWrap/>
            <w:vAlign w:val="bottom"/>
          </w:tcPr>
          <w:p w14:paraId="37E3E4D5" w14:textId="77777777" w:rsidR="003D48AE" w:rsidRPr="00E92831" w:rsidRDefault="009C010A">
            <w:pPr>
              <w:rPr>
                <w:rFonts w:asciiTheme="majorHAnsi" w:hAnsiTheme="majorHAnsi" w:cstheme="majorHAnsi"/>
                <w:bCs/>
                <w:lang w:val="el-GR"/>
              </w:rPr>
            </w:pPr>
            <w:r w:rsidRPr="00E92831">
              <w:rPr>
                <w:rFonts w:asciiTheme="majorHAnsi" w:hAnsiTheme="majorHAnsi" w:cstheme="majorHAnsi"/>
                <w:bCs/>
                <w:lang w:val="el-GR"/>
              </w:rPr>
              <w:t>Αναπηρία</w:t>
            </w:r>
          </w:p>
        </w:tc>
        <w:tc>
          <w:tcPr>
            <w:tcW w:w="2143" w:type="dxa"/>
            <w:shd w:val="clear" w:color="auto" w:fill="auto"/>
            <w:vAlign w:val="bottom"/>
          </w:tcPr>
          <w:p w14:paraId="3CCE9CAA" w14:textId="77777777" w:rsidR="003D48AE" w:rsidRPr="00E92831" w:rsidRDefault="009C010A">
            <w:pPr>
              <w:rPr>
                <w:rFonts w:asciiTheme="majorHAnsi" w:hAnsiTheme="majorHAnsi" w:cstheme="majorHAnsi"/>
              </w:rPr>
            </w:pPr>
            <w:r w:rsidRPr="00E92831">
              <w:rPr>
                <w:rFonts w:asciiTheme="majorHAnsi" w:hAnsiTheme="majorHAnsi" w:cstheme="majorHAnsi"/>
              </w:rPr>
              <w:t>1.901</w:t>
            </w:r>
          </w:p>
        </w:tc>
        <w:tc>
          <w:tcPr>
            <w:tcW w:w="2835" w:type="dxa"/>
            <w:shd w:val="clear" w:color="auto" w:fill="auto"/>
            <w:vAlign w:val="bottom"/>
          </w:tcPr>
          <w:p w14:paraId="5D5D0511" w14:textId="77777777" w:rsidR="003D48AE" w:rsidRPr="00E92831" w:rsidRDefault="009C010A">
            <w:pPr>
              <w:rPr>
                <w:rFonts w:asciiTheme="majorHAnsi" w:hAnsiTheme="majorHAnsi" w:cstheme="majorHAnsi"/>
                <w:lang w:val="el-GR"/>
              </w:rPr>
            </w:pPr>
            <w:r w:rsidRPr="00E92831">
              <w:rPr>
                <w:rFonts w:asciiTheme="majorHAnsi" w:hAnsiTheme="majorHAnsi" w:cstheme="majorHAnsi"/>
                <w:lang w:val="el-GR"/>
              </w:rPr>
              <w:t>3,8%</w:t>
            </w:r>
          </w:p>
        </w:tc>
      </w:tr>
      <w:tr w:rsidR="003D48AE" w14:paraId="5052E5B0" w14:textId="77777777" w:rsidTr="00C220AE">
        <w:trPr>
          <w:trHeight w:val="527"/>
          <w:jc w:val="center"/>
        </w:trPr>
        <w:tc>
          <w:tcPr>
            <w:tcW w:w="2960" w:type="dxa"/>
            <w:shd w:val="clear" w:color="auto" w:fill="F2F2F2" w:themeFill="background1" w:themeFillShade="F2"/>
            <w:noWrap/>
            <w:vAlign w:val="bottom"/>
          </w:tcPr>
          <w:p w14:paraId="6EC86305" w14:textId="5BEE820C" w:rsidR="003D48AE" w:rsidRPr="00E92831" w:rsidRDefault="009C010A">
            <w:pPr>
              <w:rPr>
                <w:rFonts w:asciiTheme="majorHAnsi" w:hAnsiTheme="majorHAnsi" w:cstheme="majorHAnsi"/>
                <w:bCs/>
                <w:lang w:val="el-GR"/>
              </w:rPr>
            </w:pPr>
            <w:r w:rsidRPr="00E92831">
              <w:rPr>
                <w:rFonts w:asciiTheme="majorHAnsi" w:hAnsiTheme="majorHAnsi" w:cstheme="majorHAnsi"/>
                <w:bCs/>
                <w:lang w:val="el-GR"/>
              </w:rPr>
              <w:t>Γήρας</w:t>
            </w:r>
          </w:p>
        </w:tc>
        <w:tc>
          <w:tcPr>
            <w:tcW w:w="2143" w:type="dxa"/>
            <w:shd w:val="clear" w:color="auto" w:fill="F2F2F2" w:themeFill="background1" w:themeFillShade="F2"/>
            <w:vAlign w:val="bottom"/>
          </w:tcPr>
          <w:p w14:paraId="188BA065" w14:textId="77777777" w:rsidR="003D48AE" w:rsidRPr="00E92831" w:rsidRDefault="009C010A">
            <w:pPr>
              <w:rPr>
                <w:rFonts w:asciiTheme="majorHAnsi" w:hAnsiTheme="majorHAnsi" w:cstheme="majorHAnsi"/>
              </w:rPr>
            </w:pPr>
            <w:r w:rsidRPr="00E92831">
              <w:rPr>
                <w:rFonts w:asciiTheme="majorHAnsi" w:hAnsiTheme="majorHAnsi" w:cstheme="majorHAnsi"/>
              </w:rPr>
              <w:t>25.711</w:t>
            </w:r>
          </w:p>
        </w:tc>
        <w:tc>
          <w:tcPr>
            <w:tcW w:w="2835" w:type="dxa"/>
            <w:shd w:val="clear" w:color="auto" w:fill="F2F2F2" w:themeFill="background1" w:themeFillShade="F2"/>
            <w:vAlign w:val="bottom"/>
          </w:tcPr>
          <w:p w14:paraId="3F94F39F" w14:textId="77777777" w:rsidR="003D48AE" w:rsidRPr="00E92831" w:rsidRDefault="009C010A">
            <w:pPr>
              <w:rPr>
                <w:rFonts w:asciiTheme="majorHAnsi" w:hAnsiTheme="majorHAnsi" w:cstheme="majorHAnsi"/>
                <w:lang w:val="el-GR"/>
              </w:rPr>
            </w:pPr>
            <w:r w:rsidRPr="00E92831">
              <w:rPr>
                <w:rFonts w:asciiTheme="majorHAnsi" w:hAnsiTheme="majorHAnsi" w:cstheme="majorHAnsi"/>
                <w:lang w:val="el-GR"/>
              </w:rPr>
              <w:t>51,8%</w:t>
            </w:r>
          </w:p>
        </w:tc>
      </w:tr>
      <w:tr w:rsidR="003D48AE" w14:paraId="3DB08C12" w14:textId="77777777" w:rsidTr="00C220AE">
        <w:trPr>
          <w:trHeight w:val="527"/>
          <w:jc w:val="center"/>
        </w:trPr>
        <w:tc>
          <w:tcPr>
            <w:tcW w:w="2960" w:type="dxa"/>
            <w:shd w:val="clear" w:color="auto" w:fill="auto"/>
            <w:noWrap/>
            <w:vAlign w:val="bottom"/>
          </w:tcPr>
          <w:p w14:paraId="1742835B" w14:textId="77777777" w:rsidR="003D48AE" w:rsidRPr="00E92831" w:rsidRDefault="009C010A">
            <w:pPr>
              <w:rPr>
                <w:rFonts w:asciiTheme="majorHAnsi" w:hAnsiTheme="majorHAnsi" w:cstheme="majorHAnsi"/>
                <w:bCs/>
                <w:lang w:val="el-GR"/>
              </w:rPr>
            </w:pPr>
            <w:r w:rsidRPr="00E92831">
              <w:rPr>
                <w:rFonts w:asciiTheme="majorHAnsi" w:hAnsiTheme="majorHAnsi" w:cstheme="majorHAnsi"/>
                <w:bCs/>
                <w:lang w:val="el-GR"/>
              </w:rPr>
              <w:t>Χηρεία</w:t>
            </w:r>
          </w:p>
        </w:tc>
        <w:tc>
          <w:tcPr>
            <w:tcW w:w="2143" w:type="dxa"/>
            <w:shd w:val="clear" w:color="auto" w:fill="auto"/>
            <w:vAlign w:val="bottom"/>
          </w:tcPr>
          <w:p w14:paraId="6DB5FB8B" w14:textId="77777777" w:rsidR="003D48AE" w:rsidRPr="00E92831" w:rsidRDefault="009C010A">
            <w:pPr>
              <w:rPr>
                <w:rFonts w:asciiTheme="majorHAnsi" w:hAnsiTheme="majorHAnsi" w:cstheme="majorHAnsi"/>
              </w:rPr>
            </w:pPr>
            <w:r w:rsidRPr="00E92831">
              <w:rPr>
                <w:rFonts w:asciiTheme="majorHAnsi" w:hAnsiTheme="majorHAnsi" w:cstheme="majorHAnsi"/>
              </w:rPr>
              <w:t>4.907</w:t>
            </w:r>
          </w:p>
        </w:tc>
        <w:tc>
          <w:tcPr>
            <w:tcW w:w="2835" w:type="dxa"/>
            <w:shd w:val="clear" w:color="auto" w:fill="auto"/>
            <w:vAlign w:val="bottom"/>
          </w:tcPr>
          <w:p w14:paraId="797FFA41" w14:textId="77777777" w:rsidR="003D48AE" w:rsidRPr="00E92831" w:rsidRDefault="009C010A">
            <w:pPr>
              <w:rPr>
                <w:rFonts w:asciiTheme="majorHAnsi" w:hAnsiTheme="majorHAnsi" w:cstheme="majorHAnsi"/>
                <w:lang w:val="el-GR"/>
              </w:rPr>
            </w:pPr>
            <w:r w:rsidRPr="00E92831">
              <w:rPr>
                <w:rFonts w:asciiTheme="majorHAnsi" w:hAnsiTheme="majorHAnsi" w:cstheme="majorHAnsi"/>
                <w:lang w:val="el-GR"/>
              </w:rPr>
              <w:t>9,9%</w:t>
            </w:r>
          </w:p>
        </w:tc>
      </w:tr>
      <w:tr w:rsidR="003D48AE" w14:paraId="39D90F28" w14:textId="77777777" w:rsidTr="00C220AE">
        <w:trPr>
          <w:trHeight w:val="527"/>
          <w:jc w:val="center"/>
        </w:trPr>
        <w:tc>
          <w:tcPr>
            <w:tcW w:w="2960" w:type="dxa"/>
            <w:shd w:val="clear" w:color="auto" w:fill="F2F2F2" w:themeFill="background1" w:themeFillShade="F2"/>
            <w:noWrap/>
            <w:vAlign w:val="bottom"/>
          </w:tcPr>
          <w:p w14:paraId="38FA5D24" w14:textId="77777777" w:rsidR="003D48AE" w:rsidRPr="00E92831" w:rsidRDefault="009C010A">
            <w:pPr>
              <w:rPr>
                <w:rFonts w:asciiTheme="majorHAnsi" w:hAnsiTheme="majorHAnsi" w:cstheme="majorHAnsi"/>
                <w:bCs/>
                <w:lang w:val="el-GR"/>
              </w:rPr>
            </w:pPr>
            <w:r w:rsidRPr="00E92831">
              <w:rPr>
                <w:rFonts w:asciiTheme="majorHAnsi" w:hAnsiTheme="majorHAnsi" w:cstheme="majorHAnsi"/>
                <w:bCs/>
                <w:lang w:val="el-GR"/>
              </w:rPr>
              <w:t>Οικογένεια</w:t>
            </w:r>
          </w:p>
        </w:tc>
        <w:tc>
          <w:tcPr>
            <w:tcW w:w="2143" w:type="dxa"/>
            <w:shd w:val="clear" w:color="auto" w:fill="F2F2F2" w:themeFill="background1" w:themeFillShade="F2"/>
            <w:vAlign w:val="bottom"/>
          </w:tcPr>
          <w:p w14:paraId="77D3F64E" w14:textId="77777777" w:rsidR="003D48AE" w:rsidRPr="00E92831" w:rsidRDefault="009C010A">
            <w:pPr>
              <w:rPr>
                <w:rFonts w:asciiTheme="majorHAnsi" w:hAnsiTheme="majorHAnsi" w:cstheme="majorHAnsi"/>
              </w:rPr>
            </w:pPr>
            <w:r w:rsidRPr="00E92831">
              <w:rPr>
                <w:rFonts w:asciiTheme="majorHAnsi" w:hAnsiTheme="majorHAnsi" w:cstheme="majorHAnsi"/>
              </w:rPr>
              <w:t>2.758</w:t>
            </w:r>
          </w:p>
        </w:tc>
        <w:tc>
          <w:tcPr>
            <w:tcW w:w="2835" w:type="dxa"/>
            <w:shd w:val="clear" w:color="auto" w:fill="F2F2F2" w:themeFill="background1" w:themeFillShade="F2"/>
            <w:vAlign w:val="bottom"/>
          </w:tcPr>
          <w:p w14:paraId="199D1270" w14:textId="77777777" w:rsidR="003D48AE" w:rsidRPr="00E92831" w:rsidRDefault="009C010A">
            <w:pPr>
              <w:rPr>
                <w:rFonts w:asciiTheme="majorHAnsi" w:hAnsiTheme="majorHAnsi" w:cstheme="majorHAnsi"/>
                <w:lang w:val="el-GR"/>
              </w:rPr>
            </w:pPr>
            <w:r w:rsidRPr="00E92831">
              <w:rPr>
                <w:rFonts w:asciiTheme="majorHAnsi" w:hAnsiTheme="majorHAnsi" w:cstheme="majorHAnsi"/>
                <w:lang w:val="el-GR"/>
              </w:rPr>
              <w:t>5,6%</w:t>
            </w:r>
          </w:p>
        </w:tc>
      </w:tr>
      <w:tr w:rsidR="003D48AE" w14:paraId="11A23145" w14:textId="77777777" w:rsidTr="00C220AE">
        <w:trPr>
          <w:trHeight w:val="527"/>
          <w:jc w:val="center"/>
        </w:trPr>
        <w:tc>
          <w:tcPr>
            <w:tcW w:w="2960" w:type="dxa"/>
            <w:shd w:val="clear" w:color="auto" w:fill="auto"/>
            <w:noWrap/>
            <w:vAlign w:val="bottom"/>
          </w:tcPr>
          <w:p w14:paraId="57273B69" w14:textId="77777777" w:rsidR="003D48AE" w:rsidRPr="00E92831" w:rsidRDefault="009C010A">
            <w:pPr>
              <w:rPr>
                <w:rFonts w:asciiTheme="majorHAnsi" w:hAnsiTheme="majorHAnsi" w:cstheme="majorHAnsi"/>
                <w:bCs/>
                <w:lang w:val="el-GR"/>
              </w:rPr>
            </w:pPr>
            <w:r w:rsidRPr="00E92831">
              <w:rPr>
                <w:rFonts w:asciiTheme="majorHAnsi" w:hAnsiTheme="majorHAnsi" w:cstheme="majorHAnsi"/>
                <w:bCs/>
                <w:lang w:val="el-GR"/>
              </w:rPr>
              <w:t>Ανεργία</w:t>
            </w:r>
          </w:p>
        </w:tc>
        <w:tc>
          <w:tcPr>
            <w:tcW w:w="2143" w:type="dxa"/>
            <w:shd w:val="clear" w:color="auto" w:fill="auto"/>
            <w:vAlign w:val="bottom"/>
          </w:tcPr>
          <w:p w14:paraId="171F08BC" w14:textId="77777777" w:rsidR="003D48AE" w:rsidRPr="00E92831" w:rsidRDefault="009C010A">
            <w:pPr>
              <w:rPr>
                <w:rFonts w:asciiTheme="majorHAnsi" w:hAnsiTheme="majorHAnsi" w:cstheme="majorHAnsi"/>
              </w:rPr>
            </w:pPr>
            <w:r w:rsidRPr="00E92831">
              <w:rPr>
                <w:rFonts w:asciiTheme="majorHAnsi" w:hAnsiTheme="majorHAnsi" w:cstheme="majorHAnsi"/>
              </w:rPr>
              <w:t>1.818</w:t>
            </w:r>
          </w:p>
        </w:tc>
        <w:tc>
          <w:tcPr>
            <w:tcW w:w="2835" w:type="dxa"/>
            <w:shd w:val="clear" w:color="auto" w:fill="auto"/>
            <w:vAlign w:val="bottom"/>
          </w:tcPr>
          <w:p w14:paraId="1C9EC2C1" w14:textId="77777777" w:rsidR="003D48AE" w:rsidRPr="00E92831" w:rsidRDefault="009C010A">
            <w:pPr>
              <w:rPr>
                <w:rFonts w:asciiTheme="majorHAnsi" w:hAnsiTheme="majorHAnsi" w:cstheme="majorHAnsi"/>
                <w:lang w:val="el-GR"/>
              </w:rPr>
            </w:pPr>
            <w:r w:rsidRPr="00E92831">
              <w:rPr>
                <w:rFonts w:asciiTheme="majorHAnsi" w:hAnsiTheme="majorHAnsi" w:cstheme="majorHAnsi"/>
                <w:lang w:val="el-GR"/>
              </w:rPr>
              <w:t>3,7%</w:t>
            </w:r>
          </w:p>
        </w:tc>
      </w:tr>
      <w:tr w:rsidR="003D48AE" w14:paraId="12E0CC95" w14:textId="77777777" w:rsidTr="00C220AE">
        <w:trPr>
          <w:trHeight w:val="527"/>
          <w:jc w:val="center"/>
        </w:trPr>
        <w:tc>
          <w:tcPr>
            <w:tcW w:w="2960" w:type="dxa"/>
            <w:shd w:val="clear" w:color="auto" w:fill="F2F2F2" w:themeFill="background1" w:themeFillShade="F2"/>
            <w:noWrap/>
            <w:vAlign w:val="bottom"/>
          </w:tcPr>
          <w:p w14:paraId="1648DEAA" w14:textId="77777777" w:rsidR="003D48AE" w:rsidRPr="00E92831" w:rsidRDefault="009C010A">
            <w:pPr>
              <w:rPr>
                <w:rFonts w:asciiTheme="majorHAnsi" w:hAnsiTheme="majorHAnsi" w:cstheme="majorHAnsi"/>
                <w:bCs/>
                <w:lang w:val="el-GR"/>
              </w:rPr>
            </w:pPr>
            <w:r w:rsidRPr="00E92831">
              <w:rPr>
                <w:rFonts w:asciiTheme="majorHAnsi" w:hAnsiTheme="majorHAnsi" w:cstheme="majorHAnsi"/>
                <w:bCs/>
                <w:lang w:val="el-GR"/>
              </w:rPr>
              <w:t>Στέγαση</w:t>
            </w:r>
          </w:p>
        </w:tc>
        <w:tc>
          <w:tcPr>
            <w:tcW w:w="2143" w:type="dxa"/>
            <w:shd w:val="clear" w:color="auto" w:fill="F2F2F2" w:themeFill="background1" w:themeFillShade="F2"/>
            <w:vAlign w:val="bottom"/>
          </w:tcPr>
          <w:p w14:paraId="0492D4E3" w14:textId="77777777" w:rsidR="003D48AE" w:rsidRPr="00E92831" w:rsidRDefault="009C010A">
            <w:pPr>
              <w:rPr>
                <w:rFonts w:asciiTheme="majorHAnsi" w:hAnsiTheme="majorHAnsi" w:cstheme="majorHAnsi"/>
              </w:rPr>
            </w:pPr>
            <w:r w:rsidRPr="00E92831">
              <w:rPr>
                <w:rFonts w:asciiTheme="majorHAnsi" w:hAnsiTheme="majorHAnsi" w:cstheme="majorHAnsi"/>
              </w:rPr>
              <w:t>405</w:t>
            </w:r>
          </w:p>
        </w:tc>
        <w:tc>
          <w:tcPr>
            <w:tcW w:w="2835" w:type="dxa"/>
            <w:shd w:val="clear" w:color="auto" w:fill="F2F2F2" w:themeFill="background1" w:themeFillShade="F2"/>
            <w:vAlign w:val="bottom"/>
          </w:tcPr>
          <w:p w14:paraId="0FFDB3A0" w14:textId="77777777" w:rsidR="003D48AE" w:rsidRPr="00E92831" w:rsidRDefault="009C010A">
            <w:pPr>
              <w:rPr>
                <w:rFonts w:asciiTheme="majorHAnsi" w:hAnsiTheme="majorHAnsi" w:cstheme="majorHAnsi"/>
                <w:lang w:val="el-GR"/>
              </w:rPr>
            </w:pPr>
            <w:r w:rsidRPr="00E92831">
              <w:rPr>
                <w:rFonts w:asciiTheme="majorHAnsi" w:hAnsiTheme="majorHAnsi" w:cstheme="majorHAnsi"/>
                <w:lang w:val="el-GR"/>
              </w:rPr>
              <w:t>0,8%</w:t>
            </w:r>
          </w:p>
        </w:tc>
      </w:tr>
      <w:tr w:rsidR="003D48AE" w14:paraId="0BBEEC82" w14:textId="77777777" w:rsidTr="00C220AE">
        <w:trPr>
          <w:trHeight w:val="527"/>
          <w:jc w:val="center"/>
        </w:trPr>
        <w:tc>
          <w:tcPr>
            <w:tcW w:w="2960" w:type="dxa"/>
            <w:shd w:val="clear" w:color="auto" w:fill="auto"/>
            <w:noWrap/>
            <w:vAlign w:val="bottom"/>
          </w:tcPr>
          <w:p w14:paraId="5515203B" w14:textId="77777777" w:rsidR="003D48AE" w:rsidRPr="00E92831" w:rsidRDefault="009C010A">
            <w:pPr>
              <w:rPr>
                <w:rFonts w:asciiTheme="majorHAnsi" w:hAnsiTheme="majorHAnsi" w:cstheme="majorHAnsi"/>
                <w:bCs/>
                <w:lang w:val="el-GR"/>
              </w:rPr>
            </w:pPr>
            <w:r w:rsidRPr="00E92831">
              <w:rPr>
                <w:rFonts w:asciiTheme="majorHAnsi" w:hAnsiTheme="majorHAnsi" w:cstheme="majorHAnsi"/>
                <w:bCs/>
                <w:lang w:val="el-GR"/>
              </w:rPr>
              <w:t>Κοινωνικός αποκλεισμός</w:t>
            </w:r>
          </w:p>
        </w:tc>
        <w:tc>
          <w:tcPr>
            <w:tcW w:w="2143" w:type="dxa"/>
            <w:shd w:val="clear" w:color="auto" w:fill="auto"/>
            <w:vAlign w:val="bottom"/>
          </w:tcPr>
          <w:p w14:paraId="268268CD" w14:textId="77777777" w:rsidR="003D48AE" w:rsidRPr="00E92831" w:rsidRDefault="009C010A">
            <w:pPr>
              <w:rPr>
                <w:rFonts w:asciiTheme="majorHAnsi" w:hAnsiTheme="majorHAnsi" w:cstheme="majorHAnsi"/>
              </w:rPr>
            </w:pPr>
            <w:r w:rsidRPr="00E92831">
              <w:rPr>
                <w:rFonts w:asciiTheme="majorHAnsi" w:hAnsiTheme="majorHAnsi" w:cstheme="majorHAnsi"/>
              </w:rPr>
              <w:t>772</w:t>
            </w:r>
          </w:p>
        </w:tc>
        <w:tc>
          <w:tcPr>
            <w:tcW w:w="2835" w:type="dxa"/>
            <w:shd w:val="clear" w:color="auto" w:fill="auto"/>
            <w:vAlign w:val="bottom"/>
          </w:tcPr>
          <w:p w14:paraId="73FB537E" w14:textId="77777777" w:rsidR="003D48AE" w:rsidRPr="00E92831" w:rsidRDefault="009C010A">
            <w:pPr>
              <w:rPr>
                <w:rFonts w:asciiTheme="majorHAnsi" w:hAnsiTheme="majorHAnsi" w:cstheme="majorHAnsi"/>
                <w:lang w:val="el-GR"/>
              </w:rPr>
            </w:pPr>
            <w:r w:rsidRPr="00E92831">
              <w:rPr>
                <w:rFonts w:asciiTheme="majorHAnsi" w:hAnsiTheme="majorHAnsi" w:cstheme="majorHAnsi"/>
                <w:lang w:val="el-GR"/>
              </w:rPr>
              <w:t>1,6%</w:t>
            </w:r>
          </w:p>
        </w:tc>
      </w:tr>
      <w:tr w:rsidR="003D48AE" w14:paraId="4CB3D8DC" w14:textId="77777777" w:rsidTr="00C220AE">
        <w:trPr>
          <w:trHeight w:val="527"/>
          <w:jc w:val="center"/>
        </w:trPr>
        <w:tc>
          <w:tcPr>
            <w:tcW w:w="2960" w:type="dxa"/>
            <w:shd w:val="clear" w:color="auto" w:fill="D9D9D9" w:themeFill="background1" w:themeFillShade="D9"/>
            <w:noWrap/>
            <w:vAlign w:val="bottom"/>
          </w:tcPr>
          <w:p w14:paraId="3683E1B6" w14:textId="77777777" w:rsidR="003D48AE" w:rsidRPr="00E92831" w:rsidRDefault="009C010A">
            <w:pPr>
              <w:rPr>
                <w:rFonts w:asciiTheme="majorHAnsi" w:hAnsiTheme="majorHAnsi" w:cstheme="majorHAnsi"/>
                <w:b/>
                <w:lang w:val="el-GR"/>
              </w:rPr>
            </w:pPr>
            <w:r w:rsidRPr="00E92831">
              <w:rPr>
                <w:rFonts w:asciiTheme="majorHAnsi" w:hAnsiTheme="majorHAnsi" w:cstheme="majorHAnsi"/>
                <w:b/>
                <w:lang w:val="el-GR"/>
              </w:rPr>
              <w:t>Σύνολο</w:t>
            </w:r>
          </w:p>
        </w:tc>
        <w:tc>
          <w:tcPr>
            <w:tcW w:w="2143" w:type="dxa"/>
            <w:shd w:val="clear" w:color="auto" w:fill="D9D9D9" w:themeFill="background1" w:themeFillShade="D9"/>
            <w:vAlign w:val="bottom"/>
          </w:tcPr>
          <w:p w14:paraId="7C76DC94" w14:textId="77777777" w:rsidR="003D48AE" w:rsidRPr="00E92831" w:rsidRDefault="009C010A">
            <w:pPr>
              <w:rPr>
                <w:rFonts w:asciiTheme="majorHAnsi" w:hAnsiTheme="majorHAnsi" w:cstheme="majorHAnsi"/>
                <w:b/>
              </w:rPr>
            </w:pPr>
            <w:r w:rsidRPr="00E92831">
              <w:rPr>
                <w:rFonts w:asciiTheme="majorHAnsi" w:hAnsiTheme="majorHAnsi" w:cstheme="majorHAnsi"/>
                <w:b/>
              </w:rPr>
              <w:t>49.614</w:t>
            </w:r>
          </w:p>
        </w:tc>
        <w:tc>
          <w:tcPr>
            <w:tcW w:w="2835" w:type="dxa"/>
            <w:shd w:val="clear" w:color="auto" w:fill="D9D9D9" w:themeFill="background1" w:themeFillShade="D9"/>
            <w:vAlign w:val="bottom"/>
          </w:tcPr>
          <w:p w14:paraId="76F91552" w14:textId="77777777" w:rsidR="003D48AE" w:rsidRPr="00E92831" w:rsidRDefault="009C010A">
            <w:pPr>
              <w:rPr>
                <w:rFonts w:asciiTheme="majorHAnsi" w:hAnsiTheme="majorHAnsi" w:cstheme="majorHAnsi"/>
                <w:b/>
                <w:lang w:val="el-GR"/>
              </w:rPr>
            </w:pPr>
            <w:r w:rsidRPr="00E92831">
              <w:rPr>
                <w:rFonts w:asciiTheme="majorHAnsi" w:hAnsiTheme="majorHAnsi" w:cstheme="majorHAnsi"/>
                <w:b/>
                <w:lang w:val="el-GR"/>
              </w:rPr>
              <w:t>100%</w:t>
            </w:r>
          </w:p>
        </w:tc>
      </w:tr>
    </w:tbl>
    <w:p w14:paraId="2A934352" w14:textId="7315A05F" w:rsidR="003D48AE" w:rsidRDefault="005F7C51" w:rsidP="00C220AE">
      <w:pPr>
        <w:pStyle w:val="Caption"/>
        <w:spacing w:before="120" w:after="240"/>
        <w:jc w:val="center"/>
        <w:rPr>
          <w:rFonts w:asciiTheme="majorHAnsi" w:hAnsiTheme="majorHAnsi" w:cstheme="majorHAnsi"/>
          <w:color w:val="2E74B5" w:themeColor="accent5" w:themeShade="BF"/>
          <w:lang w:val="el-GR"/>
        </w:rPr>
      </w:pPr>
      <w:r w:rsidRPr="005F7C51">
        <w:rPr>
          <w:rFonts w:asciiTheme="majorHAnsi" w:hAnsiTheme="majorHAnsi" w:cstheme="majorHAnsi"/>
          <w:b/>
          <w:bCs/>
          <w:color w:val="2E74B5" w:themeColor="accent5" w:themeShade="BF"/>
          <w:lang w:val="el-GR"/>
        </w:rPr>
        <w:t>Πηγή</w:t>
      </w:r>
      <w:r w:rsidR="009C010A">
        <w:rPr>
          <w:rFonts w:asciiTheme="majorHAnsi" w:hAnsiTheme="majorHAnsi" w:cstheme="majorHAnsi"/>
          <w:color w:val="2E74B5" w:themeColor="accent5" w:themeShade="BF"/>
          <w:lang w:val="el-GR"/>
        </w:rPr>
        <w:t>: Ελληνική Στατιστική Αρχή, Ευρωπαϊκό Σύστημα Ολοκληρωμένων Στατιστικών Κοινωνικής Προστασίας (ESSPROS)</w:t>
      </w:r>
    </w:p>
    <w:p w14:paraId="6E8A5AA2" w14:textId="77777777" w:rsidR="003D48AE" w:rsidRDefault="003D48AE">
      <w:pPr>
        <w:rPr>
          <w:lang w:val="el-GR"/>
        </w:rPr>
      </w:pPr>
    </w:p>
    <w:p w14:paraId="4CC3DB62" w14:textId="451D9AB3" w:rsidR="00C220AE" w:rsidRDefault="00C220AE">
      <w:pPr>
        <w:spacing w:after="0" w:line="240" w:lineRule="auto"/>
        <w:rPr>
          <w:lang w:val="el-GR"/>
        </w:rPr>
      </w:pPr>
      <w:r>
        <w:rPr>
          <w:lang w:val="el-GR"/>
        </w:rPr>
        <w:br w:type="page"/>
      </w:r>
    </w:p>
    <w:p w14:paraId="4D1B8209" w14:textId="77777777" w:rsidR="003D48AE" w:rsidRDefault="009C010A" w:rsidP="00C220AE">
      <w:pPr>
        <w:pStyle w:val="Heading2"/>
        <w:tabs>
          <w:tab w:val="left" w:pos="360"/>
        </w:tabs>
        <w:spacing w:before="360" w:after="240"/>
        <w:ind w:left="426" w:right="-142" w:hanging="426"/>
      </w:pPr>
      <w:bookmarkStart w:id="19" w:name="_Toc12647"/>
      <w:r>
        <w:lastRenderedPageBreak/>
        <w:t>Δαπάνες για κοινωνικές παροχές για την «Αναπηρία»</w:t>
      </w:r>
      <w:bookmarkEnd w:id="19"/>
      <w:r>
        <w:t xml:space="preserve"> </w:t>
      </w:r>
    </w:p>
    <w:p w14:paraId="33586278" w14:textId="725E8C1A" w:rsidR="003D48AE" w:rsidRDefault="009C010A">
      <w:pPr>
        <w:jc w:val="both"/>
        <w:rPr>
          <w:sz w:val="24"/>
          <w:szCs w:val="24"/>
          <w:lang w:val="el-GR"/>
        </w:rPr>
      </w:pPr>
      <w:bookmarkStart w:id="20" w:name="_Hlk201563804"/>
      <w:r>
        <w:rPr>
          <w:sz w:val="24"/>
          <w:szCs w:val="24"/>
          <w:lang w:val="el-GR"/>
        </w:rPr>
        <w:t xml:space="preserve">Το 2022, οι δαπάνες για κοινωνικές παροχές για την αναπηρία ανήλθαν σε 1.901 εκατ. Ευρώ. Η διαχρονική ανάλυση των στοιχείων φανερώνει την τεράστια περικοπή που υπέστησαν οι δαπάνες προστασίας της αναπηρίας κατά τη διάρκεια της οικονομικής κρίσης και των μνημονίων. Το διάστημα 2012 έως 2015, οι δαπάνες για την αναπηρία </w:t>
      </w:r>
      <w:proofErr w:type="spellStart"/>
      <w:r>
        <w:rPr>
          <w:sz w:val="24"/>
          <w:szCs w:val="24"/>
          <w:lang w:val="el-GR"/>
        </w:rPr>
        <w:t>περικόπηκαν</w:t>
      </w:r>
      <w:proofErr w:type="spellEnd"/>
      <w:r>
        <w:rPr>
          <w:sz w:val="24"/>
          <w:szCs w:val="24"/>
          <w:lang w:val="el-GR"/>
        </w:rPr>
        <w:t xml:space="preserve"> σε ποσοστό 42%, ενώ έκτοτε παραμένουν μέχρι και το 2022 σε παρόμοια, εξαιρετικά χαμηλά επίπεδα.</w:t>
      </w:r>
    </w:p>
    <w:p w14:paraId="7FF00E46" w14:textId="77777777" w:rsidR="005F7C51" w:rsidRDefault="005F7C51">
      <w:pPr>
        <w:jc w:val="both"/>
        <w:rPr>
          <w:sz w:val="24"/>
          <w:szCs w:val="24"/>
          <w:lang w:val="el-GR"/>
        </w:rPr>
      </w:pPr>
    </w:p>
    <w:p w14:paraId="60C66F35" w14:textId="77777777" w:rsidR="003D48AE" w:rsidRDefault="009C010A">
      <w:pPr>
        <w:pStyle w:val="Caption"/>
        <w:spacing w:before="360" w:after="120"/>
        <w:ind w:right="-2"/>
        <w:jc w:val="center"/>
        <w:rPr>
          <w:rFonts w:asciiTheme="majorHAnsi" w:hAnsiTheme="majorHAnsi" w:cstheme="majorHAnsi"/>
          <w:i w:val="0"/>
          <w:iCs w:val="0"/>
          <w:color w:val="2E74B5" w:themeColor="accent5" w:themeShade="BF"/>
          <w:sz w:val="24"/>
          <w:szCs w:val="24"/>
          <w:lang w:val="el-GR"/>
        </w:rPr>
      </w:pPr>
      <w:bookmarkStart w:id="21" w:name="_Toc201687253"/>
      <w:bookmarkEnd w:id="20"/>
      <w:r w:rsidRPr="005F7C51">
        <w:rPr>
          <w:rFonts w:asciiTheme="majorHAnsi" w:hAnsiTheme="majorHAnsi" w:cstheme="majorHAnsi"/>
          <w:b/>
          <w:bCs/>
          <w:i w:val="0"/>
          <w:iCs w:val="0"/>
          <w:color w:val="2E74B5" w:themeColor="accent5" w:themeShade="BF"/>
          <w:sz w:val="24"/>
          <w:szCs w:val="24"/>
          <w:lang w:val="el-GR"/>
        </w:rPr>
        <w:t xml:space="preserve">Γράφημα </w:t>
      </w:r>
      <w:r w:rsidRPr="005F7C51">
        <w:rPr>
          <w:rFonts w:asciiTheme="majorHAnsi" w:hAnsiTheme="majorHAnsi" w:cstheme="majorHAnsi"/>
          <w:b/>
          <w:bCs/>
          <w:i w:val="0"/>
          <w:iCs w:val="0"/>
          <w:color w:val="2E74B5" w:themeColor="accent5" w:themeShade="BF"/>
          <w:sz w:val="24"/>
          <w:szCs w:val="24"/>
          <w:lang w:val="el-GR"/>
        </w:rPr>
        <w:fldChar w:fldCharType="begin"/>
      </w:r>
      <w:r w:rsidRPr="005F7C51">
        <w:rPr>
          <w:rFonts w:asciiTheme="majorHAnsi" w:hAnsiTheme="majorHAnsi" w:cstheme="majorHAnsi"/>
          <w:b/>
          <w:bCs/>
          <w:i w:val="0"/>
          <w:iCs w:val="0"/>
          <w:color w:val="2E74B5" w:themeColor="accent5" w:themeShade="BF"/>
          <w:sz w:val="24"/>
          <w:szCs w:val="24"/>
          <w:lang w:val="el-GR"/>
        </w:rPr>
        <w:instrText xml:space="preserve"> SEQ Γράφημα \* ARABIC </w:instrText>
      </w:r>
      <w:r w:rsidRPr="005F7C51">
        <w:rPr>
          <w:rFonts w:asciiTheme="majorHAnsi" w:hAnsiTheme="majorHAnsi" w:cstheme="majorHAnsi"/>
          <w:b/>
          <w:bCs/>
          <w:i w:val="0"/>
          <w:iCs w:val="0"/>
          <w:color w:val="2E74B5" w:themeColor="accent5" w:themeShade="BF"/>
          <w:sz w:val="24"/>
          <w:szCs w:val="24"/>
          <w:lang w:val="el-GR"/>
        </w:rPr>
        <w:fldChar w:fldCharType="separate"/>
      </w:r>
      <w:r w:rsidRPr="005F7C51">
        <w:rPr>
          <w:rFonts w:asciiTheme="majorHAnsi" w:hAnsiTheme="majorHAnsi" w:cstheme="majorHAnsi"/>
          <w:b/>
          <w:bCs/>
          <w:i w:val="0"/>
          <w:iCs w:val="0"/>
          <w:color w:val="2E74B5" w:themeColor="accent5" w:themeShade="BF"/>
          <w:sz w:val="24"/>
          <w:szCs w:val="24"/>
          <w:lang w:val="el-GR"/>
        </w:rPr>
        <w:t>5</w:t>
      </w:r>
      <w:r w:rsidRPr="005F7C51">
        <w:rPr>
          <w:rFonts w:asciiTheme="majorHAnsi" w:hAnsiTheme="majorHAnsi" w:cstheme="majorHAnsi"/>
          <w:b/>
          <w:bCs/>
          <w:i w:val="0"/>
          <w:iCs w:val="0"/>
          <w:color w:val="2E74B5" w:themeColor="accent5" w:themeShade="BF"/>
          <w:sz w:val="24"/>
          <w:szCs w:val="24"/>
          <w:lang w:val="el-GR"/>
        </w:rPr>
        <w:fldChar w:fldCharType="end"/>
      </w:r>
      <w:r>
        <w:rPr>
          <w:rFonts w:asciiTheme="majorHAnsi" w:hAnsiTheme="majorHAnsi" w:cstheme="majorHAnsi"/>
          <w:i w:val="0"/>
          <w:iCs w:val="0"/>
          <w:color w:val="2E74B5" w:themeColor="accent5" w:themeShade="BF"/>
          <w:sz w:val="24"/>
          <w:szCs w:val="24"/>
          <w:lang w:val="el-GR"/>
        </w:rPr>
        <w:t>: Διαχρονική εξέλιξη δαπανών για παροχές κοινωνικής προστασίας για την αναπηρία (σε εκατομμύρια €)</w:t>
      </w:r>
      <w:bookmarkEnd w:id="21"/>
    </w:p>
    <w:p w14:paraId="37A52763" w14:textId="07D562A4" w:rsidR="003D48AE" w:rsidRDefault="00C220AE">
      <w:pPr>
        <w:rPr>
          <w:b/>
        </w:rPr>
      </w:pPr>
      <w:r>
        <w:rPr>
          <w:noProof/>
          <w:lang w:val="el-GR" w:eastAsia="el-GR"/>
        </w:rPr>
        <w:drawing>
          <wp:inline distT="0" distB="0" distL="0" distR="0" wp14:anchorId="2035DB5D" wp14:editId="76542A33">
            <wp:extent cx="5579745" cy="3945890"/>
            <wp:effectExtent l="0" t="0" r="1905" b="0"/>
            <wp:docPr id="1233346854" name="Chart 1" descr="3.361 το 2012, 3.018 το 2013, 2.969 το 2014, 1.950 το 2015, 1.935 το 2016, 1.884 το 2017, 1.826 το 2018, 1.977 το 2019, 1.891 το 2020, 1.907 το 2021, 1.901 το 2022.">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E4C05A" w14:textId="74BAE588" w:rsidR="003D48AE" w:rsidRDefault="005F7C51" w:rsidP="005F7C51">
      <w:pPr>
        <w:pStyle w:val="Caption"/>
        <w:spacing w:before="120" w:after="240"/>
        <w:jc w:val="center"/>
        <w:rPr>
          <w:rFonts w:asciiTheme="majorHAnsi" w:hAnsiTheme="majorHAnsi" w:cstheme="majorHAnsi"/>
          <w:color w:val="2E74B5" w:themeColor="accent5" w:themeShade="BF"/>
          <w:lang w:val="el-GR"/>
        </w:rPr>
      </w:pPr>
      <w:r w:rsidRPr="005F7C51">
        <w:rPr>
          <w:rFonts w:asciiTheme="majorHAnsi" w:hAnsiTheme="majorHAnsi" w:cstheme="majorHAnsi"/>
          <w:b/>
          <w:bCs/>
          <w:color w:val="2E74B5" w:themeColor="accent5" w:themeShade="BF"/>
          <w:lang w:val="el-GR"/>
        </w:rPr>
        <w:t>Πηγή</w:t>
      </w:r>
      <w:r w:rsidR="009C010A">
        <w:rPr>
          <w:rFonts w:asciiTheme="majorHAnsi" w:hAnsiTheme="majorHAnsi" w:cstheme="majorHAnsi"/>
          <w:color w:val="2E74B5" w:themeColor="accent5" w:themeShade="BF"/>
          <w:lang w:val="el-GR"/>
        </w:rPr>
        <w:t>: Ελληνική Στατιστική Αρχή, Ευρωπαϊκό Σύστημα Ολοκληρωμένων Στατιστικών Κοινωνικής Προστασίας (ESSPROS)</w:t>
      </w:r>
      <w:r>
        <w:rPr>
          <w:rFonts w:asciiTheme="majorHAnsi" w:hAnsiTheme="majorHAnsi" w:cstheme="majorHAnsi"/>
          <w:color w:val="2E74B5" w:themeColor="accent5" w:themeShade="BF"/>
          <w:lang w:val="el-GR"/>
        </w:rPr>
        <w:t xml:space="preserve"> </w:t>
      </w:r>
      <w:r w:rsidR="009C010A">
        <w:rPr>
          <w:rFonts w:asciiTheme="majorHAnsi" w:hAnsiTheme="majorHAnsi" w:cstheme="majorHAnsi"/>
          <w:color w:val="2E74B5" w:themeColor="accent5" w:themeShade="BF"/>
          <w:lang w:val="el-GR"/>
        </w:rPr>
        <w:t xml:space="preserve">/ </w:t>
      </w:r>
      <w:r w:rsidRPr="005F7C51">
        <w:rPr>
          <w:rFonts w:asciiTheme="majorHAnsi" w:hAnsiTheme="majorHAnsi" w:cstheme="majorHAnsi"/>
          <w:b/>
          <w:bCs/>
          <w:color w:val="2E74B5" w:themeColor="accent5" w:themeShade="BF"/>
          <w:lang w:val="el-GR"/>
        </w:rPr>
        <w:t>Επεξεργασία</w:t>
      </w:r>
      <w:r w:rsidR="009C010A">
        <w:rPr>
          <w:rFonts w:asciiTheme="majorHAnsi" w:hAnsiTheme="majorHAnsi" w:cstheme="majorHAnsi"/>
          <w:color w:val="2E74B5" w:themeColor="accent5" w:themeShade="BF"/>
          <w:lang w:val="el-GR"/>
        </w:rPr>
        <w:t>: Παρατηρητήριο Θεμάτων Αναπηρίας-Ε.Σ.Α.μεΑ.</w:t>
      </w:r>
    </w:p>
    <w:p w14:paraId="43B43029" w14:textId="77777777" w:rsidR="003D48AE" w:rsidRDefault="003D48AE">
      <w:pPr>
        <w:jc w:val="both"/>
        <w:rPr>
          <w:sz w:val="24"/>
          <w:szCs w:val="24"/>
          <w:lang w:val="el-GR"/>
        </w:rPr>
      </w:pPr>
    </w:p>
    <w:p w14:paraId="358A2362" w14:textId="77777777" w:rsidR="005F7C51" w:rsidRDefault="005F7C51">
      <w:pPr>
        <w:spacing w:after="0" w:line="240" w:lineRule="auto"/>
        <w:rPr>
          <w:sz w:val="24"/>
          <w:szCs w:val="24"/>
          <w:lang w:val="el-GR"/>
        </w:rPr>
      </w:pPr>
      <w:r>
        <w:rPr>
          <w:sz w:val="24"/>
          <w:szCs w:val="24"/>
          <w:lang w:val="el-GR"/>
        </w:rPr>
        <w:br w:type="page"/>
      </w:r>
    </w:p>
    <w:p w14:paraId="72A86B36" w14:textId="78E0F979" w:rsidR="003D48AE" w:rsidRDefault="009C010A">
      <w:pPr>
        <w:jc w:val="both"/>
        <w:rPr>
          <w:sz w:val="24"/>
          <w:szCs w:val="24"/>
          <w:lang w:val="el-GR"/>
        </w:rPr>
      </w:pPr>
      <w:r>
        <w:rPr>
          <w:sz w:val="24"/>
          <w:szCs w:val="24"/>
          <w:lang w:val="el-GR"/>
        </w:rPr>
        <w:lastRenderedPageBreak/>
        <w:t xml:space="preserve">Συγκρίνοντας τις δαπάνες για κοινωνικές παροχές προς τα άτομα με αναπηρία στην Ελλάδα και στις υπόλοιπες ευρωπαϊκές χώρες, διαπιστώνεται ότι η χώρα υπολείπεται σοβαρά ως προς το επίπεδο των παροχών για την αναπηρία. Στην Ελλάδα, οι δαπάνες για την αναπηρία ως ποσοστό της συνολικής δαπάνης για την κοινωνική προστασία ήταν το 2022 στο 3,8%, </w:t>
      </w:r>
      <w:bookmarkStart w:id="22" w:name="_Hlk201563686"/>
      <w:r>
        <w:rPr>
          <w:sz w:val="24"/>
          <w:szCs w:val="24"/>
          <w:lang w:val="el-GR"/>
        </w:rPr>
        <w:t xml:space="preserve">όταν η μέσος όρος της Ε.Ε.-27 ανερχόταν στο 7% (βλ. </w:t>
      </w:r>
      <w:r w:rsidR="005F7C51" w:rsidRPr="005F7C51">
        <w:rPr>
          <w:sz w:val="24"/>
          <w:szCs w:val="24"/>
          <w:lang w:val="el-GR"/>
        </w:rPr>
        <w:fldChar w:fldCharType="begin"/>
      </w:r>
      <w:r w:rsidR="005F7C51" w:rsidRPr="005F7C51">
        <w:rPr>
          <w:sz w:val="24"/>
          <w:szCs w:val="24"/>
          <w:lang w:val="el-GR"/>
        </w:rPr>
        <w:instrText xml:space="preserve"> REF _Ref202283841 \h  \* MERGEFORMAT </w:instrText>
      </w:r>
      <w:r w:rsidR="005F7C51" w:rsidRPr="005F7C51">
        <w:rPr>
          <w:sz w:val="24"/>
          <w:szCs w:val="24"/>
          <w:lang w:val="el-GR"/>
        </w:rPr>
      </w:r>
      <w:r w:rsidR="005F7C51" w:rsidRPr="005F7C51">
        <w:rPr>
          <w:sz w:val="24"/>
          <w:szCs w:val="24"/>
          <w:lang w:val="el-GR"/>
        </w:rPr>
        <w:fldChar w:fldCharType="separate"/>
      </w:r>
      <w:r w:rsidR="005F7C51" w:rsidRPr="005F7C51">
        <w:rPr>
          <w:rFonts w:asciiTheme="majorHAnsi" w:hAnsiTheme="majorHAnsi" w:cstheme="majorHAnsi"/>
          <w:color w:val="2E74B5" w:themeColor="accent5" w:themeShade="BF"/>
          <w:sz w:val="24"/>
          <w:szCs w:val="24"/>
          <w:lang w:val="el-GR"/>
        </w:rPr>
        <w:t>Γράφημα 6</w:t>
      </w:r>
      <w:r w:rsidR="005F7C51" w:rsidRPr="005F7C51">
        <w:rPr>
          <w:sz w:val="24"/>
          <w:szCs w:val="24"/>
          <w:lang w:val="el-GR"/>
        </w:rPr>
        <w:fldChar w:fldCharType="end"/>
      </w:r>
      <w:r>
        <w:rPr>
          <w:sz w:val="24"/>
          <w:szCs w:val="24"/>
          <w:lang w:val="el-GR"/>
        </w:rPr>
        <w:t>). Ειδικότερα, στον εν λόγω δείκτη, η Ελλάδα έρχεται δεύτερη από το τέλος με οριακά μεγαλύτερο ποσοστό από την Κύπρο.</w:t>
      </w:r>
    </w:p>
    <w:p w14:paraId="7DBC28B6" w14:textId="1ECBC19B" w:rsidR="003D48AE" w:rsidRDefault="009C010A">
      <w:pPr>
        <w:pStyle w:val="Caption"/>
        <w:spacing w:before="360" w:after="120"/>
        <w:ind w:right="-2"/>
        <w:jc w:val="center"/>
        <w:rPr>
          <w:rFonts w:asciiTheme="majorHAnsi" w:hAnsiTheme="majorHAnsi" w:cstheme="majorHAnsi"/>
          <w:i w:val="0"/>
          <w:iCs w:val="0"/>
          <w:color w:val="2E74B5" w:themeColor="accent5" w:themeShade="BF"/>
          <w:sz w:val="24"/>
          <w:szCs w:val="24"/>
          <w:lang w:val="el-GR"/>
        </w:rPr>
      </w:pPr>
      <w:bookmarkStart w:id="23" w:name="_Ref202283841"/>
      <w:bookmarkStart w:id="24" w:name="_Toc201687254"/>
      <w:bookmarkEnd w:id="22"/>
      <w:r w:rsidRPr="005F7C51">
        <w:rPr>
          <w:rFonts w:asciiTheme="majorHAnsi" w:hAnsiTheme="majorHAnsi" w:cstheme="majorHAnsi"/>
          <w:b/>
          <w:bCs/>
          <w:i w:val="0"/>
          <w:iCs w:val="0"/>
          <w:color w:val="2E74B5" w:themeColor="accent5" w:themeShade="BF"/>
          <w:sz w:val="24"/>
          <w:szCs w:val="24"/>
          <w:lang w:val="el-GR"/>
        </w:rPr>
        <w:t xml:space="preserve">Γράφημα </w:t>
      </w:r>
      <w:r w:rsidRPr="005F7C51">
        <w:rPr>
          <w:rFonts w:asciiTheme="majorHAnsi" w:hAnsiTheme="majorHAnsi" w:cstheme="majorHAnsi"/>
          <w:b/>
          <w:bCs/>
          <w:i w:val="0"/>
          <w:iCs w:val="0"/>
          <w:color w:val="2E74B5" w:themeColor="accent5" w:themeShade="BF"/>
          <w:sz w:val="24"/>
          <w:szCs w:val="24"/>
          <w:lang w:val="el-GR"/>
        </w:rPr>
        <w:fldChar w:fldCharType="begin"/>
      </w:r>
      <w:r w:rsidRPr="005F7C51">
        <w:rPr>
          <w:rFonts w:asciiTheme="majorHAnsi" w:hAnsiTheme="majorHAnsi" w:cstheme="majorHAnsi"/>
          <w:b/>
          <w:bCs/>
          <w:i w:val="0"/>
          <w:iCs w:val="0"/>
          <w:color w:val="2E74B5" w:themeColor="accent5" w:themeShade="BF"/>
          <w:sz w:val="24"/>
          <w:szCs w:val="24"/>
          <w:lang w:val="el-GR"/>
        </w:rPr>
        <w:instrText xml:space="preserve"> SEQ Γράφημα \* ARABIC </w:instrText>
      </w:r>
      <w:r w:rsidRPr="005F7C51">
        <w:rPr>
          <w:rFonts w:asciiTheme="majorHAnsi" w:hAnsiTheme="majorHAnsi" w:cstheme="majorHAnsi"/>
          <w:b/>
          <w:bCs/>
          <w:i w:val="0"/>
          <w:iCs w:val="0"/>
          <w:color w:val="2E74B5" w:themeColor="accent5" w:themeShade="BF"/>
          <w:sz w:val="24"/>
          <w:szCs w:val="24"/>
          <w:lang w:val="el-GR"/>
        </w:rPr>
        <w:fldChar w:fldCharType="separate"/>
      </w:r>
      <w:r w:rsidRPr="005F7C51">
        <w:rPr>
          <w:rFonts w:asciiTheme="majorHAnsi" w:hAnsiTheme="majorHAnsi" w:cstheme="majorHAnsi"/>
          <w:b/>
          <w:bCs/>
          <w:i w:val="0"/>
          <w:iCs w:val="0"/>
          <w:color w:val="2E74B5" w:themeColor="accent5" w:themeShade="BF"/>
          <w:sz w:val="24"/>
          <w:szCs w:val="24"/>
          <w:lang w:val="el-GR"/>
        </w:rPr>
        <w:t>6</w:t>
      </w:r>
      <w:r w:rsidRPr="005F7C51">
        <w:rPr>
          <w:rFonts w:asciiTheme="majorHAnsi" w:hAnsiTheme="majorHAnsi" w:cstheme="majorHAnsi"/>
          <w:b/>
          <w:bCs/>
          <w:i w:val="0"/>
          <w:iCs w:val="0"/>
          <w:color w:val="2E74B5" w:themeColor="accent5" w:themeShade="BF"/>
          <w:sz w:val="24"/>
          <w:szCs w:val="24"/>
          <w:lang w:val="el-GR"/>
        </w:rPr>
        <w:fldChar w:fldCharType="end"/>
      </w:r>
      <w:bookmarkEnd w:id="23"/>
      <w:r>
        <w:rPr>
          <w:rFonts w:asciiTheme="majorHAnsi" w:hAnsiTheme="majorHAnsi" w:cstheme="majorHAnsi"/>
          <w:i w:val="0"/>
          <w:iCs w:val="0"/>
          <w:color w:val="2E74B5" w:themeColor="accent5" w:themeShade="BF"/>
          <w:sz w:val="24"/>
          <w:szCs w:val="24"/>
          <w:lang w:val="el-GR"/>
        </w:rPr>
        <w:t>: Παροχές για την «Αναπηρία» ως ποσοστό του συνόλου των παροχών κοινωνικής προστασίας στην Ε.Ε. (2022)</w:t>
      </w:r>
      <w:bookmarkEnd w:id="24"/>
    </w:p>
    <w:p w14:paraId="3672CA6D" w14:textId="0AB37B23" w:rsidR="003D48AE" w:rsidRPr="005F7C51" w:rsidRDefault="005F7C51">
      <w:pPr>
        <w:rPr>
          <w:b/>
          <w:iCs/>
          <w:highlight w:val="green"/>
          <w:lang w:val="el-GR"/>
        </w:rPr>
      </w:pPr>
      <w:r w:rsidRPr="005F7C51">
        <w:rPr>
          <w:noProof/>
          <w:shd w:val="clear" w:color="auto" w:fill="7F7F7F" w:themeFill="text1" w:themeFillTint="80"/>
          <w:lang w:val="el-GR" w:eastAsia="el-GR"/>
        </w:rPr>
        <w:drawing>
          <wp:inline distT="0" distB="0" distL="0" distR="0" wp14:anchorId="228799C6" wp14:editId="10DB67F0">
            <wp:extent cx="5579745" cy="5769204"/>
            <wp:effectExtent l="0" t="0" r="1905" b="3175"/>
            <wp:docPr id="1151508064" name="Chart 1" descr="Δανία: 17,4&#10;Λουξεμβούργο: 11,18&#10;Εσθονία: 10,57&#10;Βέλγιο: 9,81&#10;Βουλγαρία: 9,31&#10;Φιλανδία: 8,95&#10;Σουηδία: 8,81&#10;Κροατία: 8,72&#10;Ολλανδία: 8,64&#10;Λετονία: 8,5&#10;Λιθουανία: 8,01&#10;Σλοβακία: 7,48&#10;Γερμανία: 7,14&#10;ΕΕ (27): 6,96&#10;Πορτογαλία: 6,69&#10;Γαλλία: 6,32&#10;Ισπανία: 6,3&#10;Τσεχία: 5,92&#10;Ιρλανδία: 5,47&#10;Αυστρία: 5,32&#10;Σλοβενία: 5,31&#10;Ιταλία: 5,3&#10;Ουγγαρία: 5,02&#10;Ρουμανία: 4,94&#10;Πολωνία: 4,67&#10;Μάλτα: 3,96&#10;Ελλάδα: 3,83&#10;Κύπρος: 3,52">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CC7842" w14:textId="6DEEB5A8" w:rsidR="003D48AE" w:rsidRDefault="005F7C51" w:rsidP="005F7C51">
      <w:pPr>
        <w:pStyle w:val="Caption"/>
        <w:spacing w:before="120" w:after="240"/>
        <w:jc w:val="center"/>
        <w:rPr>
          <w:rFonts w:asciiTheme="majorHAnsi" w:hAnsiTheme="majorHAnsi" w:cstheme="majorHAnsi"/>
          <w:color w:val="2E74B5" w:themeColor="accent5" w:themeShade="BF"/>
        </w:rPr>
      </w:pPr>
      <w:r w:rsidRPr="005F7C51">
        <w:rPr>
          <w:rFonts w:asciiTheme="majorHAnsi" w:hAnsiTheme="majorHAnsi" w:cstheme="majorHAnsi"/>
          <w:b/>
          <w:bCs/>
          <w:color w:val="2E74B5" w:themeColor="accent5" w:themeShade="BF"/>
          <w:lang w:val="el-GR"/>
        </w:rPr>
        <w:t>Πηγή</w:t>
      </w:r>
      <w:r w:rsidR="009C010A">
        <w:rPr>
          <w:rFonts w:asciiTheme="majorHAnsi" w:hAnsiTheme="majorHAnsi" w:cstheme="majorHAnsi"/>
          <w:color w:val="2E74B5" w:themeColor="accent5" w:themeShade="BF"/>
        </w:rPr>
        <w:t>: Eurostat, European System of Integrated Social Protection Statistics/ESSPROS (2022)</w:t>
      </w:r>
      <w:r w:rsidRPr="0001190B">
        <w:rPr>
          <w:rFonts w:asciiTheme="majorHAnsi" w:hAnsiTheme="majorHAnsi" w:cstheme="majorHAnsi"/>
          <w:color w:val="2E74B5" w:themeColor="accent5" w:themeShade="BF"/>
        </w:rPr>
        <w:br/>
      </w:r>
      <w:r w:rsidRPr="005F7C51">
        <w:rPr>
          <w:rFonts w:asciiTheme="majorHAnsi" w:hAnsiTheme="majorHAnsi" w:cstheme="majorHAnsi"/>
          <w:b/>
          <w:bCs/>
          <w:color w:val="2E74B5" w:themeColor="accent5" w:themeShade="BF"/>
          <w:lang w:val="el-GR"/>
        </w:rPr>
        <w:t>Επεξεργασία</w:t>
      </w:r>
      <w:r w:rsidR="009C010A">
        <w:rPr>
          <w:rFonts w:asciiTheme="majorHAnsi" w:hAnsiTheme="majorHAnsi" w:cstheme="majorHAnsi"/>
          <w:color w:val="2E74B5" w:themeColor="accent5" w:themeShade="BF"/>
        </w:rPr>
        <w:t xml:space="preserve">: </w:t>
      </w:r>
      <w:r w:rsidR="009C010A">
        <w:rPr>
          <w:rFonts w:asciiTheme="majorHAnsi" w:hAnsiTheme="majorHAnsi" w:cstheme="majorHAnsi"/>
          <w:color w:val="2E74B5" w:themeColor="accent5" w:themeShade="BF"/>
          <w:lang w:val="el-GR"/>
        </w:rPr>
        <w:t>Παρατηρητήριο</w:t>
      </w:r>
      <w:r w:rsidR="009C010A">
        <w:rPr>
          <w:rFonts w:asciiTheme="majorHAnsi" w:hAnsiTheme="majorHAnsi" w:cstheme="majorHAnsi"/>
          <w:color w:val="2E74B5" w:themeColor="accent5" w:themeShade="BF"/>
        </w:rPr>
        <w:t xml:space="preserve"> </w:t>
      </w:r>
      <w:r w:rsidR="009C010A">
        <w:rPr>
          <w:rFonts w:asciiTheme="majorHAnsi" w:hAnsiTheme="majorHAnsi" w:cstheme="majorHAnsi"/>
          <w:color w:val="2E74B5" w:themeColor="accent5" w:themeShade="BF"/>
          <w:lang w:val="el-GR"/>
        </w:rPr>
        <w:t>Θεμάτων</w:t>
      </w:r>
      <w:r w:rsidR="009C010A">
        <w:rPr>
          <w:rFonts w:asciiTheme="majorHAnsi" w:hAnsiTheme="majorHAnsi" w:cstheme="majorHAnsi"/>
          <w:color w:val="2E74B5" w:themeColor="accent5" w:themeShade="BF"/>
        </w:rPr>
        <w:t xml:space="preserve"> </w:t>
      </w:r>
      <w:r w:rsidR="009C010A">
        <w:rPr>
          <w:rFonts w:asciiTheme="majorHAnsi" w:hAnsiTheme="majorHAnsi" w:cstheme="majorHAnsi"/>
          <w:color w:val="2E74B5" w:themeColor="accent5" w:themeShade="BF"/>
          <w:lang w:val="el-GR"/>
        </w:rPr>
        <w:t>Αναπηρίας</w:t>
      </w:r>
      <w:r w:rsidR="009C010A">
        <w:rPr>
          <w:rFonts w:asciiTheme="majorHAnsi" w:hAnsiTheme="majorHAnsi" w:cstheme="majorHAnsi"/>
          <w:color w:val="2E74B5" w:themeColor="accent5" w:themeShade="BF"/>
        </w:rPr>
        <w:t>-</w:t>
      </w:r>
      <w:r w:rsidRPr="0001190B">
        <w:rPr>
          <w:rFonts w:asciiTheme="majorHAnsi" w:hAnsiTheme="majorHAnsi" w:cstheme="majorHAnsi"/>
          <w:color w:val="2E74B5" w:themeColor="accent5" w:themeShade="BF"/>
        </w:rPr>
        <w:t xml:space="preserve"> </w:t>
      </w:r>
      <w:r>
        <w:rPr>
          <w:rFonts w:asciiTheme="majorHAnsi" w:hAnsiTheme="majorHAnsi" w:cstheme="majorHAnsi"/>
          <w:color w:val="2E74B5" w:themeColor="accent5" w:themeShade="BF"/>
          <w:lang w:val="el-GR"/>
        </w:rPr>
        <w:t>Ε</w:t>
      </w:r>
      <w:r w:rsidRPr="0001190B">
        <w:rPr>
          <w:rFonts w:asciiTheme="majorHAnsi" w:hAnsiTheme="majorHAnsi" w:cstheme="majorHAnsi"/>
          <w:color w:val="2E74B5" w:themeColor="accent5" w:themeShade="BF"/>
        </w:rPr>
        <w:t>.</w:t>
      </w:r>
      <w:r>
        <w:rPr>
          <w:rFonts w:asciiTheme="majorHAnsi" w:hAnsiTheme="majorHAnsi" w:cstheme="majorHAnsi"/>
          <w:color w:val="2E74B5" w:themeColor="accent5" w:themeShade="BF"/>
          <w:lang w:val="el-GR"/>
        </w:rPr>
        <w:t>Σ</w:t>
      </w:r>
      <w:r w:rsidRPr="0001190B">
        <w:rPr>
          <w:rFonts w:asciiTheme="majorHAnsi" w:hAnsiTheme="majorHAnsi" w:cstheme="majorHAnsi"/>
          <w:color w:val="2E74B5" w:themeColor="accent5" w:themeShade="BF"/>
        </w:rPr>
        <w:t>.</w:t>
      </w:r>
      <w:r>
        <w:rPr>
          <w:rFonts w:asciiTheme="majorHAnsi" w:hAnsiTheme="majorHAnsi" w:cstheme="majorHAnsi"/>
          <w:color w:val="2E74B5" w:themeColor="accent5" w:themeShade="BF"/>
          <w:lang w:val="el-GR"/>
        </w:rPr>
        <w:t>Α</w:t>
      </w:r>
      <w:r w:rsidRPr="0001190B">
        <w:rPr>
          <w:rFonts w:asciiTheme="majorHAnsi" w:hAnsiTheme="majorHAnsi" w:cstheme="majorHAnsi"/>
          <w:color w:val="2E74B5" w:themeColor="accent5" w:themeShade="BF"/>
        </w:rPr>
        <w:t>.</w:t>
      </w:r>
      <w:proofErr w:type="spellStart"/>
      <w:r>
        <w:rPr>
          <w:rFonts w:asciiTheme="majorHAnsi" w:hAnsiTheme="majorHAnsi" w:cstheme="majorHAnsi"/>
          <w:color w:val="2E74B5" w:themeColor="accent5" w:themeShade="BF"/>
          <w:lang w:val="el-GR"/>
        </w:rPr>
        <w:t>μεΑ</w:t>
      </w:r>
      <w:proofErr w:type="spellEnd"/>
      <w:r w:rsidR="009C010A">
        <w:rPr>
          <w:rFonts w:asciiTheme="majorHAnsi" w:hAnsiTheme="majorHAnsi" w:cstheme="majorHAnsi"/>
          <w:color w:val="2E74B5" w:themeColor="accent5" w:themeShade="BF"/>
        </w:rPr>
        <w:t>.</w:t>
      </w:r>
    </w:p>
    <w:p w14:paraId="3FF772B3" w14:textId="09CF0731" w:rsidR="003D48AE" w:rsidRDefault="009C010A">
      <w:pPr>
        <w:jc w:val="both"/>
        <w:rPr>
          <w:lang w:val="el-GR"/>
        </w:rPr>
      </w:pPr>
      <w:bookmarkStart w:id="25" w:name="_Hlk201563734"/>
      <w:r>
        <w:rPr>
          <w:lang w:val="el-GR"/>
        </w:rPr>
        <w:lastRenderedPageBreak/>
        <w:t>Η εξέταση του δείκτη «</w:t>
      </w:r>
      <w:r>
        <w:rPr>
          <w:i/>
          <w:lang w:val="el-GR"/>
        </w:rPr>
        <w:t>Κατά κεφαλήν δαπάνη για παροχές κοινωνικής προστασίας για την αναπηρία σε μονάδες αγοραστικής δύναμης</w:t>
      </w:r>
      <w:r>
        <w:rPr>
          <w:lang w:val="el-GR"/>
        </w:rPr>
        <w:t xml:space="preserve">» επιβεβαιώνει επίσης τη γενική εικόνα, αφού στην Ελλάδα η δαπάνη για την προστασία την αναπηρίας βρίσκεται στο ιδιαίτερα χαμηλό επίπεδο των 215,81 (ΜΑΔ) ανά κάτοικο, που αντιστοιχεί σε λιγότερο από το 1/3 της ευρωπαϊκής δαπάνης (ΕΕ-27: 672,44). </w:t>
      </w:r>
    </w:p>
    <w:p w14:paraId="12F80E7A" w14:textId="235BDD00" w:rsidR="003D48AE" w:rsidRPr="00540F09" w:rsidRDefault="009C010A" w:rsidP="005F7C51">
      <w:pPr>
        <w:pStyle w:val="Caption"/>
        <w:spacing w:before="360" w:after="240"/>
        <w:jc w:val="center"/>
        <w:rPr>
          <w:i w:val="0"/>
          <w:iCs w:val="0"/>
          <w:noProof/>
          <w:lang w:val="el-GR" w:eastAsia="el-GR"/>
        </w:rPr>
      </w:pPr>
      <w:bookmarkStart w:id="26" w:name="_Toc201687255"/>
      <w:bookmarkEnd w:id="25"/>
      <w:r w:rsidRPr="00540F09">
        <w:rPr>
          <w:rFonts w:asciiTheme="majorHAnsi" w:hAnsiTheme="majorHAnsi" w:cstheme="majorHAnsi"/>
          <w:b/>
          <w:bCs/>
          <w:i w:val="0"/>
          <w:iCs w:val="0"/>
          <w:color w:val="2E74B5" w:themeColor="accent5" w:themeShade="BF"/>
          <w:sz w:val="24"/>
          <w:szCs w:val="24"/>
          <w:lang w:val="el-GR"/>
        </w:rPr>
        <w:t xml:space="preserve">Γράφημα </w:t>
      </w:r>
      <w:r w:rsidRPr="00540F09">
        <w:rPr>
          <w:rFonts w:asciiTheme="majorHAnsi" w:hAnsiTheme="majorHAnsi" w:cstheme="majorHAnsi"/>
          <w:b/>
          <w:bCs/>
          <w:i w:val="0"/>
          <w:iCs w:val="0"/>
          <w:color w:val="2E74B5" w:themeColor="accent5" w:themeShade="BF"/>
          <w:sz w:val="24"/>
          <w:szCs w:val="24"/>
          <w:lang w:val="el-GR"/>
        </w:rPr>
        <w:fldChar w:fldCharType="begin"/>
      </w:r>
      <w:r w:rsidRPr="00540F09">
        <w:rPr>
          <w:rFonts w:asciiTheme="majorHAnsi" w:hAnsiTheme="majorHAnsi" w:cstheme="majorHAnsi"/>
          <w:b/>
          <w:bCs/>
          <w:i w:val="0"/>
          <w:iCs w:val="0"/>
          <w:color w:val="2E74B5" w:themeColor="accent5" w:themeShade="BF"/>
          <w:sz w:val="24"/>
          <w:szCs w:val="24"/>
          <w:lang w:val="el-GR"/>
        </w:rPr>
        <w:instrText xml:space="preserve"> SEQ Γράφημα \* ARABIC </w:instrText>
      </w:r>
      <w:r w:rsidRPr="00540F09">
        <w:rPr>
          <w:rFonts w:asciiTheme="majorHAnsi" w:hAnsiTheme="majorHAnsi" w:cstheme="majorHAnsi"/>
          <w:b/>
          <w:bCs/>
          <w:i w:val="0"/>
          <w:iCs w:val="0"/>
          <w:color w:val="2E74B5" w:themeColor="accent5" w:themeShade="BF"/>
          <w:sz w:val="24"/>
          <w:szCs w:val="24"/>
          <w:lang w:val="el-GR"/>
        </w:rPr>
        <w:fldChar w:fldCharType="separate"/>
      </w:r>
      <w:r w:rsidRPr="00540F09">
        <w:rPr>
          <w:rFonts w:asciiTheme="majorHAnsi" w:hAnsiTheme="majorHAnsi" w:cstheme="majorHAnsi"/>
          <w:b/>
          <w:bCs/>
          <w:i w:val="0"/>
          <w:iCs w:val="0"/>
          <w:color w:val="2E74B5" w:themeColor="accent5" w:themeShade="BF"/>
          <w:sz w:val="24"/>
          <w:szCs w:val="24"/>
          <w:lang w:val="el-GR"/>
        </w:rPr>
        <w:t>7</w:t>
      </w:r>
      <w:r w:rsidRPr="00540F09">
        <w:rPr>
          <w:rFonts w:asciiTheme="majorHAnsi" w:hAnsiTheme="majorHAnsi" w:cstheme="majorHAnsi"/>
          <w:b/>
          <w:bCs/>
          <w:i w:val="0"/>
          <w:iCs w:val="0"/>
          <w:color w:val="2E74B5" w:themeColor="accent5" w:themeShade="BF"/>
          <w:sz w:val="24"/>
          <w:szCs w:val="24"/>
          <w:lang w:val="el-GR"/>
        </w:rPr>
        <w:fldChar w:fldCharType="end"/>
      </w:r>
      <w:r w:rsidRPr="00540F09">
        <w:rPr>
          <w:rFonts w:asciiTheme="majorHAnsi" w:hAnsiTheme="majorHAnsi" w:cstheme="majorHAnsi"/>
          <w:i w:val="0"/>
          <w:iCs w:val="0"/>
          <w:color w:val="2E74B5" w:themeColor="accent5" w:themeShade="BF"/>
          <w:sz w:val="24"/>
          <w:szCs w:val="24"/>
          <w:lang w:val="el-GR"/>
        </w:rPr>
        <w:t>: Κατά κεφαλήν δαπάνη για παροχές κοινωνικής προστασίας για την αναπηρία σε μονάδες αγοραστικής δύναμης (</w:t>
      </w:r>
      <w:r w:rsidRPr="00540F09">
        <w:rPr>
          <w:rFonts w:asciiTheme="majorHAnsi" w:hAnsiTheme="majorHAnsi" w:cstheme="majorHAnsi"/>
          <w:i w:val="0"/>
          <w:iCs w:val="0"/>
          <w:color w:val="2E74B5" w:themeColor="accent5" w:themeShade="BF"/>
          <w:sz w:val="24"/>
          <w:szCs w:val="24"/>
          <w:lang w:val="en-GB"/>
        </w:rPr>
        <w:t>Purchasing</w:t>
      </w:r>
      <w:r w:rsidRPr="0001190B">
        <w:rPr>
          <w:rFonts w:asciiTheme="majorHAnsi" w:hAnsiTheme="majorHAnsi" w:cstheme="majorHAnsi"/>
          <w:i w:val="0"/>
          <w:iCs w:val="0"/>
          <w:color w:val="2E74B5" w:themeColor="accent5" w:themeShade="BF"/>
          <w:sz w:val="24"/>
          <w:szCs w:val="24"/>
          <w:lang w:val="el-GR"/>
        </w:rPr>
        <w:t xml:space="preserve"> </w:t>
      </w:r>
      <w:r w:rsidRPr="00540F09">
        <w:rPr>
          <w:rFonts w:asciiTheme="majorHAnsi" w:hAnsiTheme="majorHAnsi" w:cstheme="majorHAnsi"/>
          <w:i w:val="0"/>
          <w:iCs w:val="0"/>
          <w:color w:val="2E74B5" w:themeColor="accent5" w:themeShade="BF"/>
          <w:sz w:val="24"/>
          <w:szCs w:val="24"/>
          <w:lang w:val="en-GB"/>
        </w:rPr>
        <w:t>Power</w:t>
      </w:r>
      <w:r w:rsidRPr="0001190B">
        <w:rPr>
          <w:rFonts w:asciiTheme="majorHAnsi" w:hAnsiTheme="majorHAnsi" w:cstheme="majorHAnsi"/>
          <w:i w:val="0"/>
          <w:iCs w:val="0"/>
          <w:color w:val="2E74B5" w:themeColor="accent5" w:themeShade="BF"/>
          <w:sz w:val="24"/>
          <w:szCs w:val="24"/>
          <w:lang w:val="el-GR"/>
        </w:rPr>
        <w:t xml:space="preserve"> </w:t>
      </w:r>
      <w:r w:rsidRPr="00540F09">
        <w:rPr>
          <w:rFonts w:asciiTheme="majorHAnsi" w:hAnsiTheme="majorHAnsi" w:cstheme="majorHAnsi"/>
          <w:i w:val="0"/>
          <w:iCs w:val="0"/>
          <w:color w:val="2E74B5" w:themeColor="accent5" w:themeShade="BF"/>
          <w:sz w:val="24"/>
          <w:szCs w:val="24"/>
          <w:lang w:val="en-GB"/>
        </w:rPr>
        <w:t>Standard</w:t>
      </w:r>
      <w:r w:rsidRPr="00540F09">
        <w:rPr>
          <w:rFonts w:asciiTheme="majorHAnsi" w:hAnsiTheme="majorHAnsi" w:cstheme="majorHAnsi"/>
          <w:i w:val="0"/>
          <w:iCs w:val="0"/>
          <w:color w:val="2E74B5" w:themeColor="accent5" w:themeShade="BF"/>
          <w:sz w:val="24"/>
          <w:szCs w:val="24"/>
          <w:lang w:val="el-GR"/>
        </w:rPr>
        <w:t>) για το έτος 2022</w:t>
      </w:r>
      <w:bookmarkEnd w:id="26"/>
    </w:p>
    <w:p w14:paraId="49BFE42E" w14:textId="2D78C066" w:rsidR="005F7C51" w:rsidRPr="005F7C51" w:rsidRDefault="00540F09" w:rsidP="005F7C51">
      <w:pPr>
        <w:rPr>
          <w:lang w:val="el-GR" w:eastAsia="el-GR"/>
        </w:rPr>
      </w:pPr>
      <w:r>
        <w:rPr>
          <w:noProof/>
          <w:lang w:val="el-GR" w:eastAsia="el-GR"/>
        </w:rPr>
        <w:drawing>
          <wp:inline distT="0" distB="0" distL="0" distR="0" wp14:anchorId="0C79CA3F" wp14:editId="0C4A216A">
            <wp:extent cx="5579745" cy="6136850"/>
            <wp:effectExtent l="0" t="0" r="1905" b="0"/>
            <wp:docPr id="1547460677" name="Chart 1" descr="Δανία: 2.062,6&#10;Λουξεμβούργο: 1.873,62&#10;Βέλγιο: 1.075,66&#10;Ολλανδία: 1.030,28&#10;Φινλανδία: 983,7&#10;Σουηδία: 950,44&#10;Γερμανία: 896,48&#10;Γαλλία: 718,75&#10;Αυστρία: 678,76&#10;ΕΕ (27): 672,44&#10;Ιταλία: 515,15&#10;Ισπανία: 492,28&#10;Εσθονία: 467,31&#10;Κροατία: 458,52&#10;Πορτογαλία: 432,61&#10;Ιρλανδία: 421,69&#10;Λιθουανία: 415,85&#10;Βουλγαρία: 411,57&#10;Λετονία: 396,53&#10;Σλοβενία: 389,89&#10;Τσεχία: 373,16&#10;Σλοβακία: 339,17&#10;Πολωνία: 292,31&#10;Ουγγαρία: 233,55&#10;Κύπρος: 223,21&#10;Ρουμανία: 222,77&#10;Ελλάδα: 215,81&#10;Μάλτα: 209,3">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943F5F" w14:textId="77777777" w:rsidR="00540F09" w:rsidRPr="00540F09" w:rsidRDefault="00540F09" w:rsidP="00540F09">
      <w:pPr>
        <w:pStyle w:val="Caption"/>
        <w:spacing w:before="120" w:after="240"/>
        <w:jc w:val="center"/>
        <w:rPr>
          <w:rFonts w:asciiTheme="majorHAnsi" w:hAnsiTheme="majorHAnsi" w:cstheme="majorHAnsi"/>
          <w:i w:val="0"/>
          <w:iCs w:val="0"/>
          <w:color w:val="2E74B5" w:themeColor="accent5" w:themeShade="BF"/>
        </w:rPr>
      </w:pPr>
      <w:r w:rsidRPr="00540F09">
        <w:rPr>
          <w:rFonts w:asciiTheme="majorHAnsi" w:hAnsiTheme="majorHAnsi" w:cstheme="majorHAnsi"/>
          <w:b/>
          <w:bCs/>
          <w:i w:val="0"/>
          <w:iCs w:val="0"/>
          <w:color w:val="2E74B5" w:themeColor="accent5" w:themeShade="BF"/>
          <w:lang w:val="el-GR"/>
        </w:rPr>
        <w:t>Πηγή</w:t>
      </w:r>
      <w:r w:rsidRPr="00540F09">
        <w:rPr>
          <w:rFonts w:asciiTheme="majorHAnsi" w:hAnsiTheme="majorHAnsi" w:cstheme="majorHAnsi"/>
          <w:i w:val="0"/>
          <w:iCs w:val="0"/>
          <w:color w:val="2E74B5" w:themeColor="accent5" w:themeShade="BF"/>
        </w:rPr>
        <w:t>: Eurostat, European System of Integrated Social Protection Statistics/ESSPROS (2022)</w:t>
      </w:r>
      <w:r w:rsidRPr="0001190B">
        <w:rPr>
          <w:rFonts w:asciiTheme="majorHAnsi" w:hAnsiTheme="majorHAnsi" w:cstheme="majorHAnsi"/>
          <w:i w:val="0"/>
          <w:iCs w:val="0"/>
          <w:color w:val="2E74B5" w:themeColor="accent5" w:themeShade="BF"/>
        </w:rPr>
        <w:br/>
      </w:r>
      <w:r w:rsidRPr="00540F09">
        <w:rPr>
          <w:rFonts w:asciiTheme="majorHAnsi" w:hAnsiTheme="majorHAnsi" w:cstheme="majorHAnsi"/>
          <w:b/>
          <w:bCs/>
          <w:i w:val="0"/>
          <w:iCs w:val="0"/>
          <w:color w:val="2E74B5" w:themeColor="accent5" w:themeShade="BF"/>
          <w:lang w:val="el-GR"/>
        </w:rPr>
        <w:t>Επεξεργασία</w:t>
      </w:r>
      <w:r w:rsidRPr="00540F09">
        <w:rPr>
          <w:rFonts w:asciiTheme="majorHAnsi" w:hAnsiTheme="majorHAnsi" w:cstheme="majorHAnsi"/>
          <w:i w:val="0"/>
          <w:iCs w:val="0"/>
          <w:color w:val="2E74B5" w:themeColor="accent5" w:themeShade="BF"/>
        </w:rPr>
        <w:t xml:space="preserve">: </w:t>
      </w:r>
      <w:r w:rsidRPr="00540F09">
        <w:rPr>
          <w:rFonts w:asciiTheme="majorHAnsi" w:hAnsiTheme="majorHAnsi" w:cstheme="majorHAnsi"/>
          <w:i w:val="0"/>
          <w:iCs w:val="0"/>
          <w:color w:val="2E74B5" w:themeColor="accent5" w:themeShade="BF"/>
          <w:lang w:val="el-GR"/>
        </w:rPr>
        <w:t>Παρατηρητήριο</w:t>
      </w:r>
      <w:r w:rsidRPr="00540F09">
        <w:rPr>
          <w:rFonts w:asciiTheme="majorHAnsi" w:hAnsiTheme="majorHAnsi" w:cstheme="majorHAnsi"/>
          <w:i w:val="0"/>
          <w:iCs w:val="0"/>
          <w:color w:val="2E74B5" w:themeColor="accent5" w:themeShade="BF"/>
        </w:rPr>
        <w:t xml:space="preserve"> </w:t>
      </w:r>
      <w:r w:rsidRPr="00540F09">
        <w:rPr>
          <w:rFonts w:asciiTheme="majorHAnsi" w:hAnsiTheme="majorHAnsi" w:cstheme="majorHAnsi"/>
          <w:i w:val="0"/>
          <w:iCs w:val="0"/>
          <w:color w:val="2E74B5" w:themeColor="accent5" w:themeShade="BF"/>
          <w:lang w:val="el-GR"/>
        </w:rPr>
        <w:t>Θεμάτων</w:t>
      </w:r>
      <w:r w:rsidRPr="00540F09">
        <w:rPr>
          <w:rFonts w:asciiTheme="majorHAnsi" w:hAnsiTheme="majorHAnsi" w:cstheme="majorHAnsi"/>
          <w:i w:val="0"/>
          <w:iCs w:val="0"/>
          <w:color w:val="2E74B5" w:themeColor="accent5" w:themeShade="BF"/>
        </w:rPr>
        <w:t xml:space="preserve"> </w:t>
      </w:r>
      <w:r w:rsidRPr="00540F09">
        <w:rPr>
          <w:rFonts w:asciiTheme="majorHAnsi" w:hAnsiTheme="majorHAnsi" w:cstheme="majorHAnsi"/>
          <w:i w:val="0"/>
          <w:iCs w:val="0"/>
          <w:color w:val="2E74B5" w:themeColor="accent5" w:themeShade="BF"/>
          <w:lang w:val="el-GR"/>
        </w:rPr>
        <w:t>Αναπηρίας</w:t>
      </w:r>
      <w:r w:rsidRPr="00540F09">
        <w:rPr>
          <w:rFonts w:asciiTheme="majorHAnsi" w:hAnsiTheme="majorHAnsi" w:cstheme="majorHAnsi"/>
          <w:i w:val="0"/>
          <w:iCs w:val="0"/>
          <w:color w:val="2E74B5" w:themeColor="accent5" w:themeShade="BF"/>
        </w:rPr>
        <w:t>-</w:t>
      </w:r>
      <w:r w:rsidRPr="0001190B">
        <w:rPr>
          <w:rFonts w:asciiTheme="majorHAnsi" w:hAnsiTheme="majorHAnsi" w:cstheme="majorHAnsi"/>
          <w:i w:val="0"/>
          <w:iCs w:val="0"/>
          <w:color w:val="2E74B5" w:themeColor="accent5" w:themeShade="BF"/>
        </w:rPr>
        <w:t xml:space="preserve"> </w:t>
      </w:r>
      <w:r w:rsidRPr="00540F09">
        <w:rPr>
          <w:rFonts w:asciiTheme="majorHAnsi" w:hAnsiTheme="majorHAnsi" w:cstheme="majorHAnsi"/>
          <w:i w:val="0"/>
          <w:iCs w:val="0"/>
          <w:color w:val="2E74B5" w:themeColor="accent5" w:themeShade="BF"/>
          <w:lang w:val="el-GR"/>
        </w:rPr>
        <w:t>Ε</w:t>
      </w:r>
      <w:r w:rsidRPr="0001190B">
        <w:rPr>
          <w:rFonts w:asciiTheme="majorHAnsi" w:hAnsiTheme="majorHAnsi" w:cstheme="majorHAnsi"/>
          <w:i w:val="0"/>
          <w:iCs w:val="0"/>
          <w:color w:val="2E74B5" w:themeColor="accent5" w:themeShade="BF"/>
        </w:rPr>
        <w:t>.</w:t>
      </w:r>
      <w:r w:rsidRPr="00540F09">
        <w:rPr>
          <w:rFonts w:asciiTheme="majorHAnsi" w:hAnsiTheme="majorHAnsi" w:cstheme="majorHAnsi"/>
          <w:i w:val="0"/>
          <w:iCs w:val="0"/>
          <w:color w:val="2E74B5" w:themeColor="accent5" w:themeShade="BF"/>
          <w:lang w:val="el-GR"/>
        </w:rPr>
        <w:t>Σ</w:t>
      </w:r>
      <w:r w:rsidRPr="0001190B">
        <w:rPr>
          <w:rFonts w:asciiTheme="majorHAnsi" w:hAnsiTheme="majorHAnsi" w:cstheme="majorHAnsi"/>
          <w:i w:val="0"/>
          <w:iCs w:val="0"/>
          <w:color w:val="2E74B5" w:themeColor="accent5" w:themeShade="BF"/>
        </w:rPr>
        <w:t>.</w:t>
      </w:r>
      <w:r w:rsidRPr="00540F09">
        <w:rPr>
          <w:rFonts w:asciiTheme="majorHAnsi" w:hAnsiTheme="majorHAnsi" w:cstheme="majorHAnsi"/>
          <w:i w:val="0"/>
          <w:iCs w:val="0"/>
          <w:color w:val="2E74B5" w:themeColor="accent5" w:themeShade="BF"/>
          <w:lang w:val="el-GR"/>
        </w:rPr>
        <w:t>Α</w:t>
      </w:r>
      <w:r w:rsidRPr="0001190B">
        <w:rPr>
          <w:rFonts w:asciiTheme="majorHAnsi" w:hAnsiTheme="majorHAnsi" w:cstheme="majorHAnsi"/>
          <w:i w:val="0"/>
          <w:iCs w:val="0"/>
          <w:color w:val="2E74B5" w:themeColor="accent5" w:themeShade="BF"/>
        </w:rPr>
        <w:t>.</w:t>
      </w:r>
      <w:proofErr w:type="spellStart"/>
      <w:r w:rsidRPr="00540F09">
        <w:rPr>
          <w:rFonts w:asciiTheme="majorHAnsi" w:hAnsiTheme="majorHAnsi" w:cstheme="majorHAnsi"/>
          <w:i w:val="0"/>
          <w:iCs w:val="0"/>
          <w:color w:val="2E74B5" w:themeColor="accent5" w:themeShade="BF"/>
          <w:lang w:val="el-GR"/>
        </w:rPr>
        <w:t>μεΑ</w:t>
      </w:r>
      <w:proofErr w:type="spellEnd"/>
      <w:r w:rsidRPr="00540F09">
        <w:rPr>
          <w:rFonts w:asciiTheme="majorHAnsi" w:hAnsiTheme="majorHAnsi" w:cstheme="majorHAnsi"/>
          <w:i w:val="0"/>
          <w:iCs w:val="0"/>
          <w:color w:val="2E74B5" w:themeColor="accent5" w:themeShade="BF"/>
        </w:rPr>
        <w:t>.</w:t>
      </w:r>
    </w:p>
    <w:p w14:paraId="567A073A" w14:textId="079CD57D" w:rsidR="003D48AE" w:rsidRDefault="009C010A">
      <w:pPr>
        <w:jc w:val="both"/>
        <w:rPr>
          <w:sz w:val="24"/>
          <w:szCs w:val="24"/>
          <w:lang w:val="el-GR"/>
        </w:rPr>
      </w:pPr>
      <w:bookmarkStart w:id="27" w:name="_Hlk201563859"/>
      <w:r>
        <w:rPr>
          <w:sz w:val="24"/>
          <w:szCs w:val="24"/>
          <w:lang w:val="el-GR"/>
        </w:rPr>
        <w:lastRenderedPageBreak/>
        <w:t>Όπως φαίνεται αναλυτικά στον πίνακα 3, οι δαπάνες κοινωνικής προστασίας για την αναπηρία αφορούν, μέχρι και το έτος 2022,</w:t>
      </w:r>
      <w:r w:rsidR="001E1CA2">
        <w:rPr>
          <w:sz w:val="24"/>
          <w:szCs w:val="24"/>
          <w:lang w:val="el-GR"/>
        </w:rPr>
        <w:t xml:space="preserve"> </w:t>
      </w:r>
      <w:r>
        <w:rPr>
          <w:sz w:val="24"/>
          <w:szCs w:val="24"/>
          <w:lang w:val="el-GR"/>
        </w:rPr>
        <w:t>σχεδόν αποκλειστικά σε περιοδικές παροχές σε χρήμα και ειδικότερα, σε συντάξεις αναπηρίας (47% της δαπάνης) και σε αναπηρικά επιδόματα (48,7% της δαπάνης).</w:t>
      </w:r>
      <w:bookmarkStart w:id="28" w:name="_Hlk201563884"/>
      <w:bookmarkEnd w:id="27"/>
      <w:r>
        <w:rPr>
          <w:sz w:val="24"/>
          <w:szCs w:val="24"/>
          <w:lang w:val="el-GR"/>
        </w:rPr>
        <w:t xml:space="preserve"> Επιβεβαιώνεται δηλαδή ότι, οι παροχές σε επίπεδο υπηρεσιών υποστήριξης είναι ιδιαίτερα περιορισμένες στη χώρα, και η πρόνοια είναι μέχρι και το 2022, σχεδόν ανύπαρκτη σε ότι αφορά ζητήματα στέγασης, βοήθειας σε καθημερινές δραστηριότητες</w:t>
      </w:r>
      <w:r>
        <w:rPr>
          <w:rStyle w:val="FootnoteReference"/>
          <w:sz w:val="24"/>
          <w:szCs w:val="24"/>
          <w:lang w:val="el-GR"/>
        </w:rPr>
        <w:footnoteReference w:id="5"/>
      </w:r>
      <w:r>
        <w:rPr>
          <w:sz w:val="24"/>
          <w:szCs w:val="24"/>
          <w:lang w:val="el-GR"/>
        </w:rPr>
        <w:t>, αποκατάστασης/</w:t>
      </w:r>
      <w:proofErr w:type="spellStart"/>
      <w:r>
        <w:rPr>
          <w:sz w:val="24"/>
          <w:szCs w:val="24"/>
          <w:lang w:val="el-GR"/>
        </w:rPr>
        <w:t>επαναποκατάστασης</w:t>
      </w:r>
      <w:proofErr w:type="spellEnd"/>
      <w:r>
        <w:rPr>
          <w:sz w:val="24"/>
          <w:szCs w:val="24"/>
          <w:lang w:val="el-GR"/>
        </w:rPr>
        <w:t>. Αξίζει να σημειωθεί ότι, η Ελλάδα βρίσκεται στην τελευταία θέση μεταξύ των ευρωπαϊκών χωρών και αναφορικά με το ποσοστό δαπανών κοινωνικής προστασίας που αφιερώνει σε παροχές σε είδος</w:t>
      </w:r>
      <w:r>
        <w:rPr>
          <w:rStyle w:val="FootnoteReference"/>
          <w:sz w:val="24"/>
          <w:szCs w:val="24"/>
          <w:lang w:val="el-GR"/>
        </w:rPr>
        <w:footnoteReference w:id="6"/>
      </w:r>
      <w:r>
        <w:rPr>
          <w:sz w:val="24"/>
          <w:szCs w:val="24"/>
          <w:lang w:val="el-GR"/>
        </w:rPr>
        <w:t>.</w:t>
      </w:r>
    </w:p>
    <w:bookmarkEnd w:id="28"/>
    <w:p w14:paraId="2274129D" w14:textId="01758841" w:rsidR="008F2080" w:rsidRDefault="008F2080">
      <w:pPr>
        <w:spacing w:after="0" w:line="240" w:lineRule="auto"/>
        <w:rPr>
          <w:lang w:val="el-GR"/>
        </w:rPr>
      </w:pPr>
      <w:r>
        <w:rPr>
          <w:lang w:val="el-GR"/>
        </w:rPr>
        <w:br w:type="page"/>
      </w:r>
    </w:p>
    <w:p w14:paraId="59FAE301" w14:textId="536915C8" w:rsidR="003D48AE" w:rsidRPr="008F2080" w:rsidRDefault="009C010A" w:rsidP="008F2080">
      <w:pPr>
        <w:pStyle w:val="Caption"/>
        <w:spacing w:before="360" w:after="240"/>
        <w:jc w:val="center"/>
        <w:rPr>
          <w:rFonts w:asciiTheme="majorHAnsi" w:hAnsiTheme="majorHAnsi" w:cstheme="majorHAnsi"/>
          <w:i w:val="0"/>
          <w:iCs w:val="0"/>
          <w:color w:val="2E74B5" w:themeColor="accent5" w:themeShade="BF"/>
          <w:sz w:val="24"/>
          <w:szCs w:val="24"/>
          <w:lang w:val="el-GR"/>
        </w:rPr>
      </w:pPr>
      <w:bookmarkStart w:id="29" w:name="_Hlk44944067"/>
      <w:r w:rsidRPr="008F2080">
        <w:rPr>
          <w:rFonts w:asciiTheme="majorHAnsi" w:hAnsiTheme="majorHAnsi" w:cstheme="majorHAnsi"/>
          <w:b/>
          <w:bCs/>
          <w:i w:val="0"/>
          <w:iCs w:val="0"/>
          <w:color w:val="2E74B5" w:themeColor="accent5" w:themeShade="BF"/>
          <w:sz w:val="24"/>
          <w:szCs w:val="24"/>
          <w:lang w:val="el-GR"/>
        </w:rPr>
        <w:lastRenderedPageBreak/>
        <w:t>Πίνακας 2</w:t>
      </w:r>
      <w:r w:rsidRPr="008F2080">
        <w:rPr>
          <w:rFonts w:asciiTheme="majorHAnsi" w:hAnsiTheme="majorHAnsi" w:cstheme="majorHAnsi"/>
          <w:i w:val="0"/>
          <w:iCs w:val="0"/>
          <w:color w:val="2E74B5" w:themeColor="accent5" w:themeShade="BF"/>
          <w:sz w:val="24"/>
          <w:szCs w:val="24"/>
          <w:lang w:val="el-GR"/>
        </w:rPr>
        <w:t xml:space="preserve">: Αναλυτικός πίνακας παροχών κοινωνικής προστασίας </w:t>
      </w:r>
      <w:r w:rsidR="008F2080" w:rsidRPr="0001190B">
        <w:rPr>
          <w:rFonts w:asciiTheme="majorHAnsi" w:hAnsiTheme="majorHAnsi" w:cstheme="majorHAnsi"/>
          <w:i w:val="0"/>
          <w:iCs w:val="0"/>
          <w:color w:val="2E74B5" w:themeColor="accent5" w:themeShade="BF"/>
          <w:sz w:val="24"/>
          <w:szCs w:val="24"/>
          <w:lang w:val="el-GR"/>
        </w:rPr>
        <w:br/>
      </w:r>
      <w:r w:rsidRPr="008F2080">
        <w:rPr>
          <w:rFonts w:asciiTheme="majorHAnsi" w:hAnsiTheme="majorHAnsi" w:cstheme="majorHAnsi"/>
          <w:i w:val="0"/>
          <w:iCs w:val="0"/>
          <w:color w:val="2E74B5" w:themeColor="accent5" w:themeShade="BF"/>
          <w:sz w:val="24"/>
          <w:szCs w:val="24"/>
          <w:lang w:val="el-GR"/>
        </w:rPr>
        <w:t>για την αναπηρία</w:t>
      </w:r>
      <w:r w:rsidR="001E1CA2" w:rsidRPr="008F2080">
        <w:rPr>
          <w:rFonts w:asciiTheme="majorHAnsi" w:hAnsiTheme="majorHAnsi" w:cstheme="majorHAnsi"/>
          <w:i w:val="0"/>
          <w:iCs w:val="0"/>
          <w:color w:val="2E74B5" w:themeColor="accent5" w:themeShade="BF"/>
          <w:sz w:val="24"/>
          <w:szCs w:val="24"/>
          <w:lang w:val="el-GR"/>
        </w:rPr>
        <w:t xml:space="preserve"> </w:t>
      </w:r>
      <w:r w:rsidRPr="008F2080">
        <w:rPr>
          <w:rFonts w:asciiTheme="majorHAnsi" w:hAnsiTheme="majorHAnsi" w:cstheme="majorHAnsi"/>
          <w:i w:val="0"/>
          <w:iCs w:val="0"/>
          <w:color w:val="2E74B5" w:themeColor="accent5" w:themeShade="BF"/>
          <w:sz w:val="24"/>
          <w:szCs w:val="24"/>
          <w:lang w:val="el-GR"/>
        </w:rPr>
        <w:t>(σε εκατ. Ευρώ)</w:t>
      </w:r>
    </w:p>
    <w:tbl>
      <w:tblPr>
        <w:tblStyle w:val="TableGridLight1"/>
        <w:tblW w:w="8794" w:type="dxa"/>
        <w:tblBorders>
          <w:top w:val="none" w:sz="0" w:space="0" w:color="auto"/>
          <w:left w:val="none" w:sz="0" w:space="0" w:color="auto"/>
          <w:bottom w:val="none" w:sz="0"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457"/>
        <w:gridCol w:w="667"/>
        <w:gridCol w:w="667"/>
        <w:gridCol w:w="667"/>
        <w:gridCol w:w="667"/>
        <w:gridCol w:w="667"/>
        <w:gridCol w:w="667"/>
        <w:gridCol w:w="667"/>
        <w:gridCol w:w="667"/>
        <w:gridCol w:w="667"/>
        <w:gridCol w:w="667"/>
        <w:gridCol w:w="667"/>
      </w:tblGrid>
      <w:tr w:rsidR="003D48AE" w14:paraId="2B747163" w14:textId="77777777" w:rsidTr="00E92831">
        <w:trPr>
          <w:trHeight w:val="255"/>
        </w:trPr>
        <w:tc>
          <w:tcPr>
            <w:tcW w:w="1457" w:type="dxa"/>
            <w:noWrap/>
          </w:tcPr>
          <w:p w14:paraId="08E392A1" w14:textId="77777777" w:rsidR="003D48AE" w:rsidRDefault="003D48AE" w:rsidP="00E92831">
            <w:pPr>
              <w:spacing w:before="80" w:after="80" w:line="240" w:lineRule="auto"/>
              <w:rPr>
                <w:rFonts w:ascii="Times New Roman" w:eastAsia="Times New Roman" w:hAnsi="Times New Roman" w:cs="Times New Roman"/>
                <w:kern w:val="0"/>
                <w:sz w:val="20"/>
                <w:szCs w:val="20"/>
                <w:lang w:val="el-GR" w:eastAsia="de-DE"/>
                <w14:ligatures w14:val="none"/>
              </w:rPr>
            </w:pPr>
          </w:p>
        </w:tc>
        <w:tc>
          <w:tcPr>
            <w:tcW w:w="667" w:type="dxa"/>
            <w:shd w:val="clear" w:color="auto" w:fill="D9D9D9" w:themeFill="background1" w:themeFillShade="D9"/>
            <w:noWrap/>
          </w:tcPr>
          <w:p w14:paraId="1D7CE83B" w14:textId="77777777" w:rsidR="003D48AE" w:rsidRDefault="009C010A" w:rsidP="00E92831">
            <w:pPr>
              <w:spacing w:before="80" w:after="80" w:line="240" w:lineRule="auto"/>
              <w:jc w:val="center"/>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2012</w:t>
            </w:r>
          </w:p>
        </w:tc>
        <w:tc>
          <w:tcPr>
            <w:tcW w:w="667" w:type="dxa"/>
            <w:noWrap/>
          </w:tcPr>
          <w:p w14:paraId="5BE5ECAF" w14:textId="77777777" w:rsidR="003D48AE" w:rsidRDefault="009C010A" w:rsidP="00E92831">
            <w:pPr>
              <w:spacing w:before="80" w:after="80" w:line="240" w:lineRule="auto"/>
              <w:jc w:val="center"/>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2013</w:t>
            </w:r>
          </w:p>
        </w:tc>
        <w:tc>
          <w:tcPr>
            <w:tcW w:w="667" w:type="dxa"/>
            <w:shd w:val="clear" w:color="auto" w:fill="D9D9D9" w:themeFill="background1" w:themeFillShade="D9"/>
            <w:noWrap/>
          </w:tcPr>
          <w:p w14:paraId="1EB5D9D5" w14:textId="77777777" w:rsidR="003D48AE" w:rsidRDefault="009C010A" w:rsidP="00E92831">
            <w:pPr>
              <w:spacing w:before="80" w:after="80" w:line="240" w:lineRule="auto"/>
              <w:jc w:val="center"/>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2014</w:t>
            </w:r>
          </w:p>
        </w:tc>
        <w:tc>
          <w:tcPr>
            <w:tcW w:w="667" w:type="dxa"/>
            <w:noWrap/>
          </w:tcPr>
          <w:p w14:paraId="41727534" w14:textId="77777777" w:rsidR="003D48AE" w:rsidRDefault="009C010A" w:rsidP="00E92831">
            <w:pPr>
              <w:spacing w:before="80" w:after="80" w:line="240" w:lineRule="auto"/>
              <w:jc w:val="center"/>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2015</w:t>
            </w:r>
          </w:p>
        </w:tc>
        <w:tc>
          <w:tcPr>
            <w:tcW w:w="667" w:type="dxa"/>
            <w:shd w:val="clear" w:color="auto" w:fill="D9D9D9" w:themeFill="background1" w:themeFillShade="D9"/>
            <w:noWrap/>
          </w:tcPr>
          <w:p w14:paraId="5F0727E7" w14:textId="77777777" w:rsidR="003D48AE" w:rsidRDefault="009C010A" w:rsidP="00E92831">
            <w:pPr>
              <w:spacing w:before="80" w:after="80" w:line="240" w:lineRule="auto"/>
              <w:jc w:val="center"/>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2016</w:t>
            </w:r>
          </w:p>
        </w:tc>
        <w:tc>
          <w:tcPr>
            <w:tcW w:w="667" w:type="dxa"/>
            <w:noWrap/>
          </w:tcPr>
          <w:p w14:paraId="3092A4DB" w14:textId="77777777" w:rsidR="003D48AE" w:rsidRDefault="009C010A" w:rsidP="00E92831">
            <w:pPr>
              <w:spacing w:before="80" w:after="80" w:line="240" w:lineRule="auto"/>
              <w:jc w:val="center"/>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2017</w:t>
            </w:r>
          </w:p>
        </w:tc>
        <w:tc>
          <w:tcPr>
            <w:tcW w:w="667" w:type="dxa"/>
            <w:shd w:val="clear" w:color="auto" w:fill="D9D9D9" w:themeFill="background1" w:themeFillShade="D9"/>
            <w:noWrap/>
          </w:tcPr>
          <w:p w14:paraId="04CB3A88" w14:textId="77777777" w:rsidR="003D48AE" w:rsidRDefault="009C010A" w:rsidP="00E92831">
            <w:pPr>
              <w:spacing w:before="80" w:after="80" w:line="240" w:lineRule="auto"/>
              <w:jc w:val="center"/>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2018</w:t>
            </w:r>
          </w:p>
        </w:tc>
        <w:tc>
          <w:tcPr>
            <w:tcW w:w="667" w:type="dxa"/>
            <w:noWrap/>
          </w:tcPr>
          <w:p w14:paraId="03912623" w14:textId="77777777" w:rsidR="003D48AE" w:rsidRDefault="009C010A" w:rsidP="00E92831">
            <w:pPr>
              <w:spacing w:before="80" w:after="80" w:line="240" w:lineRule="auto"/>
              <w:jc w:val="center"/>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2019</w:t>
            </w:r>
          </w:p>
        </w:tc>
        <w:tc>
          <w:tcPr>
            <w:tcW w:w="667" w:type="dxa"/>
            <w:shd w:val="clear" w:color="auto" w:fill="D9D9D9" w:themeFill="background1" w:themeFillShade="D9"/>
            <w:noWrap/>
          </w:tcPr>
          <w:p w14:paraId="7270BF10" w14:textId="77777777" w:rsidR="003D48AE" w:rsidRDefault="009C010A" w:rsidP="00E92831">
            <w:pPr>
              <w:spacing w:before="80" w:after="80" w:line="240" w:lineRule="auto"/>
              <w:jc w:val="center"/>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2020</w:t>
            </w:r>
          </w:p>
        </w:tc>
        <w:tc>
          <w:tcPr>
            <w:tcW w:w="667" w:type="dxa"/>
            <w:noWrap/>
          </w:tcPr>
          <w:p w14:paraId="6A5ECB69" w14:textId="77777777" w:rsidR="003D48AE" w:rsidRDefault="009C010A" w:rsidP="00E92831">
            <w:pPr>
              <w:spacing w:before="80" w:after="80" w:line="240" w:lineRule="auto"/>
              <w:jc w:val="center"/>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2021</w:t>
            </w:r>
          </w:p>
        </w:tc>
        <w:tc>
          <w:tcPr>
            <w:tcW w:w="667" w:type="dxa"/>
            <w:shd w:val="clear" w:color="auto" w:fill="D9D9D9" w:themeFill="background1" w:themeFillShade="D9"/>
            <w:noWrap/>
          </w:tcPr>
          <w:p w14:paraId="51AE6C10" w14:textId="77777777" w:rsidR="003D48AE" w:rsidRDefault="009C010A" w:rsidP="00E92831">
            <w:pPr>
              <w:spacing w:before="80" w:after="80" w:line="240" w:lineRule="auto"/>
              <w:jc w:val="center"/>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2022</w:t>
            </w:r>
          </w:p>
        </w:tc>
      </w:tr>
      <w:tr w:rsidR="003D48AE" w14:paraId="1946179E" w14:textId="77777777" w:rsidTr="00E92831">
        <w:trPr>
          <w:trHeight w:val="255"/>
        </w:trPr>
        <w:tc>
          <w:tcPr>
            <w:tcW w:w="1457" w:type="dxa"/>
            <w:noWrap/>
          </w:tcPr>
          <w:p w14:paraId="2D2EB90F" w14:textId="77777777" w:rsidR="003D48AE" w:rsidRPr="004C7F1F" w:rsidRDefault="009C010A" w:rsidP="00E92831">
            <w:pPr>
              <w:spacing w:before="80" w:after="80" w:line="240" w:lineRule="auto"/>
              <w:rPr>
                <w:rFonts w:ascii="Arial" w:eastAsia="Times New Roman" w:hAnsi="Arial" w:cs="Arial"/>
                <w:b/>
                <w:bCs/>
                <w:kern w:val="0"/>
                <w:sz w:val="18"/>
                <w:szCs w:val="18"/>
                <w:lang w:val="el-GR" w:eastAsia="de-DE"/>
                <w14:ligatures w14:val="none"/>
              </w:rPr>
            </w:pPr>
            <w:r w:rsidRPr="004C7F1F">
              <w:rPr>
                <w:rFonts w:ascii="Arial" w:eastAsia="Times New Roman" w:hAnsi="Arial" w:cs="Arial"/>
                <w:b/>
                <w:bCs/>
                <w:kern w:val="0"/>
                <w:sz w:val="18"/>
                <w:szCs w:val="18"/>
                <w:lang w:val="el-GR" w:eastAsia="de-DE"/>
                <w14:ligatures w14:val="none"/>
              </w:rPr>
              <w:t>ΣΥΝΟΛΟ ΠΑΡΟΧΩΝ</w:t>
            </w:r>
          </w:p>
        </w:tc>
        <w:tc>
          <w:tcPr>
            <w:tcW w:w="667" w:type="dxa"/>
            <w:shd w:val="clear" w:color="auto" w:fill="D9D9D9" w:themeFill="background1" w:themeFillShade="D9"/>
            <w:noWrap/>
          </w:tcPr>
          <w:p w14:paraId="747E42F9"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3.361</w:t>
            </w:r>
          </w:p>
        </w:tc>
        <w:tc>
          <w:tcPr>
            <w:tcW w:w="667" w:type="dxa"/>
            <w:noWrap/>
          </w:tcPr>
          <w:p w14:paraId="2ADC3216"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3.018</w:t>
            </w:r>
          </w:p>
        </w:tc>
        <w:tc>
          <w:tcPr>
            <w:tcW w:w="667" w:type="dxa"/>
            <w:shd w:val="clear" w:color="auto" w:fill="D9D9D9" w:themeFill="background1" w:themeFillShade="D9"/>
            <w:noWrap/>
          </w:tcPr>
          <w:p w14:paraId="5C7A318F"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2.969</w:t>
            </w:r>
          </w:p>
        </w:tc>
        <w:tc>
          <w:tcPr>
            <w:tcW w:w="667" w:type="dxa"/>
            <w:noWrap/>
          </w:tcPr>
          <w:p w14:paraId="56CC244C"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1.950</w:t>
            </w:r>
          </w:p>
        </w:tc>
        <w:tc>
          <w:tcPr>
            <w:tcW w:w="667" w:type="dxa"/>
            <w:shd w:val="clear" w:color="auto" w:fill="D9D9D9" w:themeFill="background1" w:themeFillShade="D9"/>
            <w:noWrap/>
          </w:tcPr>
          <w:p w14:paraId="70996048"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1.935</w:t>
            </w:r>
          </w:p>
        </w:tc>
        <w:tc>
          <w:tcPr>
            <w:tcW w:w="667" w:type="dxa"/>
            <w:noWrap/>
          </w:tcPr>
          <w:p w14:paraId="470FA0D8"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1.884</w:t>
            </w:r>
          </w:p>
        </w:tc>
        <w:tc>
          <w:tcPr>
            <w:tcW w:w="667" w:type="dxa"/>
            <w:shd w:val="clear" w:color="auto" w:fill="D9D9D9" w:themeFill="background1" w:themeFillShade="D9"/>
            <w:noWrap/>
          </w:tcPr>
          <w:p w14:paraId="3D9A4D85"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1.826</w:t>
            </w:r>
          </w:p>
        </w:tc>
        <w:tc>
          <w:tcPr>
            <w:tcW w:w="667" w:type="dxa"/>
            <w:noWrap/>
          </w:tcPr>
          <w:p w14:paraId="639CB2FE"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1.977</w:t>
            </w:r>
          </w:p>
        </w:tc>
        <w:tc>
          <w:tcPr>
            <w:tcW w:w="667" w:type="dxa"/>
            <w:shd w:val="clear" w:color="auto" w:fill="D9D9D9" w:themeFill="background1" w:themeFillShade="D9"/>
            <w:noWrap/>
          </w:tcPr>
          <w:p w14:paraId="0D8BA5A6"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1.891</w:t>
            </w:r>
          </w:p>
        </w:tc>
        <w:tc>
          <w:tcPr>
            <w:tcW w:w="667" w:type="dxa"/>
            <w:noWrap/>
          </w:tcPr>
          <w:p w14:paraId="415E8FF2"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1.907</w:t>
            </w:r>
          </w:p>
        </w:tc>
        <w:tc>
          <w:tcPr>
            <w:tcW w:w="667" w:type="dxa"/>
            <w:shd w:val="clear" w:color="auto" w:fill="D9D9D9" w:themeFill="background1" w:themeFillShade="D9"/>
            <w:noWrap/>
          </w:tcPr>
          <w:p w14:paraId="63C50B0F"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1.901</w:t>
            </w:r>
          </w:p>
        </w:tc>
      </w:tr>
      <w:tr w:rsidR="003D48AE" w14:paraId="477D0440" w14:textId="77777777" w:rsidTr="00E92831">
        <w:trPr>
          <w:trHeight w:val="255"/>
        </w:trPr>
        <w:tc>
          <w:tcPr>
            <w:tcW w:w="1457" w:type="dxa"/>
            <w:noWrap/>
          </w:tcPr>
          <w:p w14:paraId="3104C1B8" w14:textId="77777777" w:rsidR="003D48AE" w:rsidRPr="004C7F1F" w:rsidRDefault="009C010A" w:rsidP="00E92831">
            <w:pPr>
              <w:spacing w:before="80" w:after="80" w:line="240" w:lineRule="auto"/>
              <w:rPr>
                <w:rFonts w:ascii="Arial" w:eastAsia="Times New Roman" w:hAnsi="Arial" w:cs="Arial"/>
                <w:b/>
                <w:bCs/>
                <w:kern w:val="0"/>
                <w:sz w:val="18"/>
                <w:szCs w:val="18"/>
                <w:lang w:val="el-GR" w:eastAsia="de-DE"/>
                <w14:ligatures w14:val="none"/>
              </w:rPr>
            </w:pPr>
            <w:r w:rsidRPr="004C7F1F">
              <w:rPr>
                <w:rFonts w:ascii="Arial" w:eastAsia="Times New Roman" w:hAnsi="Arial" w:cs="Arial"/>
                <w:b/>
                <w:bCs/>
                <w:kern w:val="0"/>
                <w:sz w:val="18"/>
                <w:szCs w:val="18"/>
                <w:lang w:val="el-GR" w:eastAsia="de-DE"/>
                <w14:ligatures w14:val="none"/>
              </w:rPr>
              <w:t>Χωρίς εισοδηματικά κριτήρια</w:t>
            </w:r>
          </w:p>
        </w:tc>
        <w:tc>
          <w:tcPr>
            <w:tcW w:w="667" w:type="dxa"/>
            <w:shd w:val="clear" w:color="auto" w:fill="D9D9D9" w:themeFill="background1" w:themeFillShade="D9"/>
            <w:noWrap/>
          </w:tcPr>
          <w:p w14:paraId="1E8887F6"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3.229</w:t>
            </w:r>
          </w:p>
        </w:tc>
        <w:tc>
          <w:tcPr>
            <w:tcW w:w="667" w:type="dxa"/>
            <w:noWrap/>
          </w:tcPr>
          <w:p w14:paraId="76D4B338"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2.886</w:t>
            </w:r>
          </w:p>
        </w:tc>
        <w:tc>
          <w:tcPr>
            <w:tcW w:w="667" w:type="dxa"/>
            <w:shd w:val="clear" w:color="auto" w:fill="D9D9D9" w:themeFill="background1" w:themeFillShade="D9"/>
            <w:noWrap/>
          </w:tcPr>
          <w:p w14:paraId="58EC56CA"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2.871</w:t>
            </w:r>
          </w:p>
        </w:tc>
        <w:tc>
          <w:tcPr>
            <w:tcW w:w="667" w:type="dxa"/>
            <w:noWrap/>
          </w:tcPr>
          <w:p w14:paraId="7DCA6F80"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1.912</w:t>
            </w:r>
          </w:p>
        </w:tc>
        <w:tc>
          <w:tcPr>
            <w:tcW w:w="667" w:type="dxa"/>
            <w:shd w:val="clear" w:color="auto" w:fill="D9D9D9" w:themeFill="background1" w:themeFillShade="D9"/>
            <w:noWrap/>
          </w:tcPr>
          <w:p w14:paraId="5A2485D2"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1.902</w:t>
            </w:r>
          </w:p>
        </w:tc>
        <w:tc>
          <w:tcPr>
            <w:tcW w:w="667" w:type="dxa"/>
            <w:noWrap/>
          </w:tcPr>
          <w:p w14:paraId="462EC119"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1.860</w:t>
            </w:r>
          </w:p>
        </w:tc>
        <w:tc>
          <w:tcPr>
            <w:tcW w:w="667" w:type="dxa"/>
            <w:shd w:val="clear" w:color="auto" w:fill="D9D9D9" w:themeFill="background1" w:themeFillShade="D9"/>
            <w:noWrap/>
          </w:tcPr>
          <w:p w14:paraId="0AB2C6EF"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1.801</w:t>
            </w:r>
          </w:p>
        </w:tc>
        <w:tc>
          <w:tcPr>
            <w:tcW w:w="667" w:type="dxa"/>
            <w:noWrap/>
          </w:tcPr>
          <w:p w14:paraId="0786730E"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1.961</w:t>
            </w:r>
          </w:p>
        </w:tc>
        <w:tc>
          <w:tcPr>
            <w:tcW w:w="667" w:type="dxa"/>
            <w:shd w:val="clear" w:color="auto" w:fill="D9D9D9" w:themeFill="background1" w:themeFillShade="D9"/>
            <w:noWrap/>
          </w:tcPr>
          <w:p w14:paraId="4BF8845A"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1.889</w:t>
            </w:r>
          </w:p>
        </w:tc>
        <w:tc>
          <w:tcPr>
            <w:tcW w:w="667" w:type="dxa"/>
            <w:noWrap/>
          </w:tcPr>
          <w:p w14:paraId="17FA473E"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1.904</w:t>
            </w:r>
          </w:p>
        </w:tc>
        <w:tc>
          <w:tcPr>
            <w:tcW w:w="667" w:type="dxa"/>
            <w:shd w:val="clear" w:color="auto" w:fill="D9D9D9" w:themeFill="background1" w:themeFillShade="D9"/>
            <w:noWrap/>
          </w:tcPr>
          <w:p w14:paraId="778BC121"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1.898</w:t>
            </w:r>
          </w:p>
        </w:tc>
      </w:tr>
      <w:tr w:rsidR="003D48AE" w14:paraId="60680FDA" w14:textId="77777777" w:rsidTr="00E92831">
        <w:trPr>
          <w:trHeight w:val="255"/>
        </w:trPr>
        <w:tc>
          <w:tcPr>
            <w:tcW w:w="1457" w:type="dxa"/>
            <w:noWrap/>
          </w:tcPr>
          <w:p w14:paraId="2218EF6E" w14:textId="77777777" w:rsidR="003D48AE" w:rsidRPr="004C7F1F" w:rsidRDefault="009C010A" w:rsidP="00E92831">
            <w:pPr>
              <w:spacing w:before="80" w:after="80" w:line="240" w:lineRule="auto"/>
              <w:rPr>
                <w:rFonts w:ascii="Arial" w:eastAsia="Times New Roman" w:hAnsi="Arial" w:cs="Arial"/>
                <w:b/>
                <w:bCs/>
                <w:kern w:val="0"/>
                <w:sz w:val="18"/>
                <w:szCs w:val="18"/>
                <w:lang w:val="el-GR" w:eastAsia="de-DE"/>
                <w14:ligatures w14:val="none"/>
              </w:rPr>
            </w:pPr>
            <w:r w:rsidRPr="004C7F1F">
              <w:rPr>
                <w:rFonts w:ascii="Arial" w:eastAsia="Times New Roman" w:hAnsi="Arial" w:cs="Arial"/>
                <w:b/>
                <w:bCs/>
                <w:kern w:val="0"/>
                <w:sz w:val="18"/>
                <w:szCs w:val="18"/>
                <w:lang w:val="el-GR" w:eastAsia="de-DE"/>
                <w14:ligatures w14:val="none"/>
              </w:rPr>
              <w:t>Παροχές σε χρήμα</w:t>
            </w:r>
          </w:p>
        </w:tc>
        <w:tc>
          <w:tcPr>
            <w:tcW w:w="667" w:type="dxa"/>
            <w:shd w:val="clear" w:color="auto" w:fill="D9D9D9" w:themeFill="background1" w:themeFillShade="D9"/>
            <w:noWrap/>
          </w:tcPr>
          <w:p w14:paraId="31A6232E"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3.200</w:t>
            </w:r>
          </w:p>
        </w:tc>
        <w:tc>
          <w:tcPr>
            <w:tcW w:w="667" w:type="dxa"/>
            <w:noWrap/>
          </w:tcPr>
          <w:p w14:paraId="4DA07BD8"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2.833</w:t>
            </w:r>
          </w:p>
        </w:tc>
        <w:tc>
          <w:tcPr>
            <w:tcW w:w="667" w:type="dxa"/>
            <w:shd w:val="clear" w:color="auto" w:fill="D9D9D9" w:themeFill="background1" w:themeFillShade="D9"/>
            <w:noWrap/>
          </w:tcPr>
          <w:p w14:paraId="20BBE909"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2.825</w:t>
            </w:r>
          </w:p>
        </w:tc>
        <w:tc>
          <w:tcPr>
            <w:tcW w:w="667" w:type="dxa"/>
            <w:noWrap/>
          </w:tcPr>
          <w:p w14:paraId="63E7B065"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1.833</w:t>
            </w:r>
          </w:p>
        </w:tc>
        <w:tc>
          <w:tcPr>
            <w:tcW w:w="667" w:type="dxa"/>
            <w:shd w:val="clear" w:color="auto" w:fill="D9D9D9" w:themeFill="background1" w:themeFillShade="D9"/>
            <w:noWrap/>
          </w:tcPr>
          <w:p w14:paraId="4A670063"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1.848</w:t>
            </w:r>
          </w:p>
        </w:tc>
        <w:tc>
          <w:tcPr>
            <w:tcW w:w="667" w:type="dxa"/>
            <w:noWrap/>
          </w:tcPr>
          <w:p w14:paraId="6C86ACCE"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1.788</w:t>
            </w:r>
          </w:p>
        </w:tc>
        <w:tc>
          <w:tcPr>
            <w:tcW w:w="667" w:type="dxa"/>
            <w:shd w:val="clear" w:color="auto" w:fill="D9D9D9" w:themeFill="background1" w:themeFillShade="D9"/>
            <w:noWrap/>
          </w:tcPr>
          <w:p w14:paraId="05A048AF"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1.685</w:t>
            </w:r>
          </w:p>
        </w:tc>
        <w:tc>
          <w:tcPr>
            <w:tcW w:w="667" w:type="dxa"/>
            <w:noWrap/>
          </w:tcPr>
          <w:p w14:paraId="71112023"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1.891</w:t>
            </w:r>
          </w:p>
        </w:tc>
        <w:tc>
          <w:tcPr>
            <w:tcW w:w="667" w:type="dxa"/>
            <w:shd w:val="clear" w:color="auto" w:fill="D9D9D9" w:themeFill="background1" w:themeFillShade="D9"/>
            <w:noWrap/>
          </w:tcPr>
          <w:p w14:paraId="390AD241"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1.821</w:t>
            </w:r>
          </w:p>
        </w:tc>
        <w:tc>
          <w:tcPr>
            <w:tcW w:w="667" w:type="dxa"/>
            <w:noWrap/>
          </w:tcPr>
          <w:p w14:paraId="6F30E50C"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1.837</w:t>
            </w:r>
          </w:p>
        </w:tc>
        <w:tc>
          <w:tcPr>
            <w:tcW w:w="667" w:type="dxa"/>
            <w:shd w:val="clear" w:color="auto" w:fill="D9D9D9" w:themeFill="background1" w:themeFillShade="D9"/>
            <w:noWrap/>
          </w:tcPr>
          <w:p w14:paraId="41CFEA9B"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1.830</w:t>
            </w:r>
          </w:p>
        </w:tc>
      </w:tr>
      <w:tr w:rsidR="003D48AE" w14:paraId="3A0822C1" w14:textId="77777777" w:rsidTr="00E92831">
        <w:trPr>
          <w:trHeight w:val="255"/>
        </w:trPr>
        <w:tc>
          <w:tcPr>
            <w:tcW w:w="1457" w:type="dxa"/>
            <w:noWrap/>
          </w:tcPr>
          <w:p w14:paraId="13350C58" w14:textId="77777777" w:rsidR="003D48AE" w:rsidRPr="004C7F1F" w:rsidRDefault="009C010A" w:rsidP="00E92831">
            <w:pPr>
              <w:spacing w:before="80" w:after="80" w:line="240" w:lineRule="auto"/>
              <w:rPr>
                <w:rFonts w:ascii="Arial" w:eastAsia="Times New Roman" w:hAnsi="Arial" w:cs="Arial"/>
                <w:b/>
                <w:bCs/>
                <w:kern w:val="0"/>
                <w:sz w:val="18"/>
                <w:szCs w:val="18"/>
                <w:lang w:val="el-GR" w:eastAsia="de-DE"/>
                <w14:ligatures w14:val="none"/>
              </w:rPr>
            </w:pPr>
            <w:r w:rsidRPr="004C7F1F">
              <w:rPr>
                <w:rFonts w:ascii="Arial" w:eastAsia="Times New Roman" w:hAnsi="Arial" w:cs="Arial"/>
                <w:b/>
                <w:bCs/>
                <w:kern w:val="0"/>
                <w:sz w:val="18"/>
                <w:szCs w:val="18"/>
                <w:lang w:val="el-GR" w:eastAsia="de-DE"/>
                <w14:ligatures w14:val="none"/>
              </w:rPr>
              <w:t>Περιοδικές</w:t>
            </w:r>
          </w:p>
        </w:tc>
        <w:tc>
          <w:tcPr>
            <w:tcW w:w="667" w:type="dxa"/>
            <w:shd w:val="clear" w:color="auto" w:fill="D9D9D9" w:themeFill="background1" w:themeFillShade="D9"/>
            <w:noWrap/>
          </w:tcPr>
          <w:p w14:paraId="75273FE4"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3.191</w:t>
            </w:r>
          </w:p>
        </w:tc>
        <w:tc>
          <w:tcPr>
            <w:tcW w:w="667" w:type="dxa"/>
            <w:noWrap/>
          </w:tcPr>
          <w:p w14:paraId="7DCB094E"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2.830</w:t>
            </w:r>
          </w:p>
        </w:tc>
        <w:tc>
          <w:tcPr>
            <w:tcW w:w="667" w:type="dxa"/>
            <w:shd w:val="clear" w:color="auto" w:fill="D9D9D9" w:themeFill="background1" w:themeFillShade="D9"/>
            <w:noWrap/>
          </w:tcPr>
          <w:p w14:paraId="713102B9"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2.823</w:t>
            </w:r>
          </w:p>
        </w:tc>
        <w:tc>
          <w:tcPr>
            <w:tcW w:w="667" w:type="dxa"/>
            <w:noWrap/>
          </w:tcPr>
          <w:p w14:paraId="00426A1F"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1.832</w:t>
            </w:r>
          </w:p>
        </w:tc>
        <w:tc>
          <w:tcPr>
            <w:tcW w:w="667" w:type="dxa"/>
            <w:shd w:val="clear" w:color="auto" w:fill="D9D9D9" w:themeFill="background1" w:themeFillShade="D9"/>
            <w:noWrap/>
          </w:tcPr>
          <w:p w14:paraId="0EEDE4EE"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1.846</w:t>
            </w:r>
          </w:p>
        </w:tc>
        <w:tc>
          <w:tcPr>
            <w:tcW w:w="667" w:type="dxa"/>
            <w:noWrap/>
          </w:tcPr>
          <w:p w14:paraId="577444BE"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1.786</w:t>
            </w:r>
          </w:p>
        </w:tc>
        <w:tc>
          <w:tcPr>
            <w:tcW w:w="667" w:type="dxa"/>
            <w:shd w:val="clear" w:color="auto" w:fill="D9D9D9" w:themeFill="background1" w:themeFillShade="D9"/>
            <w:noWrap/>
          </w:tcPr>
          <w:p w14:paraId="227E23C5"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1.683</w:t>
            </w:r>
          </w:p>
        </w:tc>
        <w:tc>
          <w:tcPr>
            <w:tcW w:w="667" w:type="dxa"/>
            <w:noWrap/>
          </w:tcPr>
          <w:p w14:paraId="5C2EF416"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1.889</w:t>
            </w:r>
          </w:p>
        </w:tc>
        <w:tc>
          <w:tcPr>
            <w:tcW w:w="667" w:type="dxa"/>
            <w:shd w:val="clear" w:color="auto" w:fill="D9D9D9" w:themeFill="background1" w:themeFillShade="D9"/>
            <w:noWrap/>
          </w:tcPr>
          <w:p w14:paraId="1056E0B0"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1.819</w:t>
            </w:r>
          </w:p>
        </w:tc>
        <w:tc>
          <w:tcPr>
            <w:tcW w:w="667" w:type="dxa"/>
            <w:noWrap/>
          </w:tcPr>
          <w:p w14:paraId="6FF67A9B"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1.835</w:t>
            </w:r>
          </w:p>
        </w:tc>
        <w:tc>
          <w:tcPr>
            <w:tcW w:w="667" w:type="dxa"/>
            <w:shd w:val="clear" w:color="auto" w:fill="D9D9D9" w:themeFill="background1" w:themeFillShade="D9"/>
            <w:noWrap/>
          </w:tcPr>
          <w:p w14:paraId="5DCA6EC3"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1.828</w:t>
            </w:r>
          </w:p>
        </w:tc>
      </w:tr>
      <w:tr w:rsidR="003D48AE" w14:paraId="6167B8A7" w14:textId="77777777" w:rsidTr="00E92831">
        <w:trPr>
          <w:trHeight w:val="255"/>
        </w:trPr>
        <w:tc>
          <w:tcPr>
            <w:tcW w:w="1457" w:type="dxa"/>
            <w:noWrap/>
          </w:tcPr>
          <w:p w14:paraId="652A1FE0" w14:textId="77777777" w:rsidR="003D48AE" w:rsidRPr="004C7F1F" w:rsidRDefault="009C010A" w:rsidP="00E92831">
            <w:pPr>
              <w:spacing w:before="80" w:after="80" w:line="240" w:lineRule="auto"/>
              <w:rPr>
                <w:rFonts w:ascii="Arial" w:eastAsia="Times New Roman" w:hAnsi="Arial" w:cs="Arial"/>
                <w:kern w:val="0"/>
                <w:sz w:val="18"/>
                <w:szCs w:val="18"/>
                <w:lang w:val="el-GR" w:eastAsia="de-DE"/>
                <w14:ligatures w14:val="none"/>
              </w:rPr>
            </w:pPr>
            <w:r w:rsidRPr="004C7F1F">
              <w:rPr>
                <w:rFonts w:ascii="Arial" w:eastAsia="Times New Roman" w:hAnsi="Arial" w:cs="Arial"/>
                <w:kern w:val="0"/>
                <w:sz w:val="18"/>
                <w:szCs w:val="18"/>
                <w:lang w:val="el-GR" w:eastAsia="de-DE"/>
                <w14:ligatures w14:val="none"/>
              </w:rPr>
              <w:t xml:space="preserve">Συντάξεις αναπηρίας </w:t>
            </w:r>
          </w:p>
        </w:tc>
        <w:tc>
          <w:tcPr>
            <w:tcW w:w="667" w:type="dxa"/>
            <w:shd w:val="clear" w:color="auto" w:fill="D9D9D9" w:themeFill="background1" w:themeFillShade="D9"/>
            <w:noWrap/>
          </w:tcPr>
          <w:p w14:paraId="1C15C572"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2.439</w:t>
            </w:r>
          </w:p>
        </w:tc>
        <w:tc>
          <w:tcPr>
            <w:tcW w:w="667" w:type="dxa"/>
            <w:noWrap/>
          </w:tcPr>
          <w:p w14:paraId="0A445D91"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2.156</w:t>
            </w:r>
          </w:p>
        </w:tc>
        <w:tc>
          <w:tcPr>
            <w:tcW w:w="667" w:type="dxa"/>
            <w:shd w:val="clear" w:color="auto" w:fill="D9D9D9" w:themeFill="background1" w:themeFillShade="D9"/>
            <w:noWrap/>
          </w:tcPr>
          <w:p w14:paraId="7BC62B29"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2.105</w:t>
            </w:r>
          </w:p>
        </w:tc>
        <w:tc>
          <w:tcPr>
            <w:tcW w:w="667" w:type="dxa"/>
            <w:noWrap/>
          </w:tcPr>
          <w:p w14:paraId="7C72B987"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1.159</w:t>
            </w:r>
          </w:p>
        </w:tc>
        <w:tc>
          <w:tcPr>
            <w:tcW w:w="667" w:type="dxa"/>
            <w:shd w:val="clear" w:color="auto" w:fill="D9D9D9" w:themeFill="background1" w:themeFillShade="D9"/>
            <w:noWrap/>
          </w:tcPr>
          <w:p w14:paraId="58447723"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1.176</w:t>
            </w:r>
          </w:p>
        </w:tc>
        <w:tc>
          <w:tcPr>
            <w:tcW w:w="667" w:type="dxa"/>
            <w:noWrap/>
          </w:tcPr>
          <w:p w14:paraId="559B66BC"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1.115</w:t>
            </w:r>
          </w:p>
        </w:tc>
        <w:tc>
          <w:tcPr>
            <w:tcW w:w="667" w:type="dxa"/>
            <w:shd w:val="clear" w:color="auto" w:fill="D9D9D9" w:themeFill="background1" w:themeFillShade="D9"/>
            <w:noWrap/>
          </w:tcPr>
          <w:p w14:paraId="45C11F26"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1.001</w:t>
            </w:r>
          </w:p>
        </w:tc>
        <w:tc>
          <w:tcPr>
            <w:tcW w:w="667" w:type="dxa"/>
            <w:noWrap/>
          </w:tcPr>
          <w:p w14:paraId="1CD4E161"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970</w:t>
            </w:r>
          </w:p>
        </w:tc>
        <w:tc>
          <w:tcPr>
            <w:tcW w:w="667" w:type="dxa"/>
            <w:shd w:val="clear" w:color="auto" w:fill="D9D9D9" w:themeFill="background1" w:themeFillShade="D9"/>
            <w:noWrap/>
          </w:tcPr>
          <w:p w14:paraId="2DD70149"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987</w:t>
            </w:r>
          </w:p>
        </w:tc>
        <w:tc>
          <w:tcPr>
            <w:tcW w:w="667" w:type="dxa"/>
            <w:noWrap/>
          </w:tcPr>
          <w:p w14:paraId="2C590618"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947</w:t>
            </w:r>
          </w:p>
        </w:tc>
        <w:tc>
          <w:tcPr>
            <w:tcW w:w="667" w:type="dxa"/>
            <w:shd w:val="clear" w:color="auto" w:fill="D9D9D9" w:themeFill="background1" w:themeFillShade="D9"/>
            <w:noWrap/>
          </w:tcPr>
          <w:p w14:paraId="6E4B7F83"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901</w:t>
            </w:r>
          </w:p>
        </w:tc>
      </w:tr>
      <w:tr w:rsidR="003D48AE" w14:paraId="6A350CBD" w14:textId="77777777" w:rsidTr="00E92831">
        <w:trPr>
          <w:trHeight w:val="255"/>
        </w:trPr>
        <w:tc>
          <w:tcPr>
            <w:tcW w:w="1457" w:type="dxa"/>
            <w:noWrap/>
          </w:tcPr>
          <w:p w14:paraId="6323C671" w14:textId="77777777" w:rsidR="003D48AE" w:rsidRPr="004C7F1F" w:rsidRDefault="009C010A" w:rsidP="00E92831">
            <w:pPr>
              <w:spacing w:before="80" w:after="80" w:line="240" w:lineRule="auto"/>
              <w:rPr>
                <w:rFonts w:ascii="Arial" w:eastAsia="Times New Roman" w:hAnsi="Arial" w:cs="Arial"/>
                <w:kern w:val="0"/>
                <w:sz w:val="18"/>
                <w:szCs w:val="18"/>
                <w:lang w:val="el-GR" w:eastAsia="de-DE"/>
                <w14:ligatures w14:val="none"/>
              </w:rPr>
            </w:pPr>
            <w:r w:rsidRPr="004C7F1F">
              <w:rPr>
                <w:rFonts w:ascii="Arial" w:eastAsia="Times New Roman" w:hAnsi="Arial" w:cs="Arial"/>
                <w:kern w:val="0"/>
                <w:sz w:val="18"/>
                <w:szCs w:val="18"/>
                <w:lang w:val="el-GR" w:eastAsia="de-DE"/>
                <w14:ligatures w14:val="none"/>
              </w:rPr>
              <w:t>Λοιπά Προνοιακά επιδόματα</w:t>
            </w:r>
          </w:p>
        </w:tc>
        <w:tc>
          <w:tcPr>
            <w:tcW w:w="667" w:type="dxa"/>
            <w:shd w:val="clear" w:color="auto" w:fill="D9D9D9" w:themeFill="background1" w:themeFillShade="D9"/>
            <w:noWrap/>
          </w:tcPr>
          <w:p w14:paraId="6E80CCD7"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752</w:t>
            </w:r>
          </w:p>
        </w:tc>
        <w:tc>
          <w:tcPr>
            <w:tcW w:w="667" w:type="dxa"/>
            <w:noWrap/>
          </w:tcPr>
          <w:p w14:paraId="5E3F549B"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674</w:t>
            </w:r>
          </w:p>
        </w:tc>
        <w:tc>
          <w:tcPr>
            <w:tcW w:w="667" w:type="dxa"/>
            <w:shd w:val="clear" w:color="auto" w:fill="D9D9D9" w:themeFill="background1" w:themeFillShade="D9"/>
            <w:noWrap/>
          </w:tcPr>
          <w:p w14:paraId="3E9DABEE"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719</w:t>
            </w:r>
          </w:p>
        </w:tc>
        <w:tc>
          <w:tcPr>
            <w:tcW w:w="667" w:type="dxa"/>
            <w:noWrap/>
          </w:tcPr>
          <w:p w14:paraId="41D99956"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673</w:t>
            </w:r>
          </w:p>
        </w:tc>
        <w:tc>
          <w:tcPr>
            <w:tcW w:w="667" w:type="dxa"/>
            <w:shd w:val="clear" w:color="auto" w:fill="D9D9D9" w:themeFill="background1" w:themeFillShade="D9"/>
            <w:noWrap/>
          </w:tcPr>
          <w:p w14:paraId="53DC43D8"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669</w:t>
            </w:r>
          </w:p>
        </w:tc>
        <w:tc>
          <w:tcPr>
            <w:tcW w:w="667" w:type="dxa"/>
            <w:noWrap/>
          </w:tcPr>
          <w:p w14:paraId="442399DF"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671</w:t>
            </w:r>
          </w:p>
        </w:tc>
        <w:tc>
          <w:tcPr>
            <w:tcW w:w="667" w:type="dxa"/>
            <w:shd w:val="clear" w:color="auto" w:fill="D9D9D9" w:themeFill="background1" w:themeFillShade="D9"/>
            <w:noWrap/>
          </w:tcPr>
          <w:p w14:paraId="24D2E923"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683</w:t>
            </w:r>
          </w:p>
        </w:tc>
        <w:tc>
          <w:tcPr>
            <w:tcW w:w="667" w:type="dxa"/>
            <w:noWrap/>
          </w:tcPr>
          <w:p w14:paraId="4A46B77C"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920</w:t>
            </w:r>
          </w:p>
        </w:tc>
        <w:tc>
          <w:tcPr>
            <w:tcW w:w="667" w:type="dxa"/>
            <w:shd w:val="clear" w:color="auto" w:fill="D9D9D9" w:themeFill="background1" w:themeFillShade="D9"/>
            <w:noWrap/>
          </w:tcPr>
          <w:p w14:paraId="15F9ECBC"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832</w:t>
            </w:r>
          </w:p>
        </w:tc>
        <w:tc>
          <w:tcPr>
            <w:tcW w:w="667" w:type="dxa"/>
            <w:noWrap/>
          </w:tcPr>
          <w:p w14:paraId="2FFBB639"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888</w:t>
            </w:r>
          </w:p>
        </w:tc>
        <w:tc>
          <w:tcPr>
            <w:tcW w:w="667" w:type="dxa"/>
            <w:shd w:val="clear" w:color="auto" w:fill="D9D9D9" w:themeFill="background1" w:themeFillShade="D9"/>
            <w:noWrap/>
          </w:tcPr>
          <w:p w14:paraId="668A7EF3"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926</w:t>
            </w:r>
          </w:p>
        </w:tc>
      </w:tr>
      <w:tr w:rsidR="003D48AE" w14:paraId="395F379B" w14:textId="77777777" w:rsidTr="00E92831">
        <w:trPr>
          <w:trHeight w:val="255"/>
        </w:trPr>
        <w:tc>
          <w:tcPr>
            <w:tcW w:w="1457" w:type="dxa"/>
            <w:noWrap/>
          </w:tcPr>
          <w:p w14:paraId="10368E0C" w14:textId="77777777" w:rsidR="003D48AE" w:rsidRPr="004C7F1F" w:rsidRDefault="009C010A" w:rsidP="00E92831">
            <w:pPr>
              <w:spacing w:before="80" w:after="80" w:line="240" w:lineRule="auto"/>
              <w:rPr>
                <w:rFonts w:ascii="Arial" w:eastAsia="Times New Roman" w:hAnsi="Arial" w:cs="Arial"/>
                <w:b/>
                <w:bCs/>
                <w:kern w:val="0"/>
                <w:sz w:val="18"/>
                <w:szCs w:val="18"/>
                <w:lang w:val="el-GR" w:eastAsia="de-DE"/>
                <w14:ligatures w14:val="none"/>
              </w:rPr>
            </w:pPr>
            <w:r w:rsidRPr="004C7F1F">
              <w:rPr>
                <w:rFonts w:ascii="Arial" w:eastAsia="Times New Roman" w:hAnsi="Arial" w:cs="Arial"/>
                <w:b/>
                <w:bCs/>
                <w:kern w:val="0"/>
                <w:sz w:val="18"/>
                <w:szCs w:val="18"/>
                <w:lang w:val="el-GR" w:eastAsia="de-DE"/>
                <w14:ligatures w14:val="none"/>
              </w:rPr>
              <w:t>Εφάπαξ</w:t>
            </w:r>
          </w:p>
        </w:tc>
        <w:tc>
          <w:tcPr>
            <w:tcW w:w="667" w:type="dxa"/>
            <w:shd w:val="clear" w:color="auto" w:fill="D9D9D9" w:themeFill="background1" w:themeFillShade="D9"/>
            <w:noWrap/>
          </w:tcPr>
          <w:p w14:paraId="17F41E9B"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9</w:t>
            </w:r>
          </w:p>
        </w:tc>
        <w:tc>
          <w:tcPr>
            <w:tcW w:w="667" w:type="dxa"/>
            <w:noWrap/>
          </w:tcPr>
          <w:p w14:paraId="0B46D549"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3</w:t>
            </w:r>
          </w:p>
        </w:tc>
        <w:tc>
          <w:tcPr>
            <w:tcW w:w="667" w:type="dxa"/>
            <w:shd w:val="clear" w:color="auto" w:fill="D9D9D9" w:themeFill="background1" w:themeFillShade="D9"/>
            <w:noWrap/>
          </w:tcPr>
          <w:p w14:paraId="3771151B"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w:t>
            </w:r>
          </w:p>
        </w:tc>
        <w:tc>
          <w:tcPr>
            <w:tcW w:w="667" w:type="dxa"/>
            <w:noWrap/>
          </w:tcPr>
          <w:p w14:paraId="08438082"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w:t>
            </w:r>
          </w:p>
        </w:tc>
        <w:tc>
          <w:tcPr>
            <w:tcW w:w="667" w:type="dxa"/>
            <w:shd w:val="clear" w:color="auto" w:fill="D9D9D9" w:themeFill="background1" w:themeFillShade="D9"/>
            <w:noWrap/>
          </w:tcPr>
          <w:p w14:paraId="20A5AA95"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w:t>
            </w:r>
          </w:p>
        </w:tc>
        <w:tc>
          <w:tcPr>
            <w:tcW w:w="667" w:type="dxa"/>
            <w:noWrap/>
          </w:tcPr>
          <w:p w14:paraId="0E8DE82E"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w:t>
            </w:r>
          </w:p>
        </w:tc>
        <w:tc>
          <w:tcPr>
            <w:tcW w:w="667" w:type="dxa"/>
            <w:shd w:val="clear" w:color="auto" w:fill="D9D9D9" w:themeFill="background1" w:themeFillShade="D9"/>
            <w:noWrap/>
          </w:tcPr>
          <w:p w14:paraId="7510DC36"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w:t>
            </w:r>
          </w:p>
        </w:tc>
        <w:tc>
          <w:tcPr>
            <w:tcW w:w="667" w:type="dxa"/>
            <w:noWrap/>
          </w:tcPr>
          <w:p w14:paraId="22DD09F7"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w:t>
            </w:r>
          </w:p>
        </w:tc>
        <w:tc>
          <w:tcPr>
            <w:tcW w:w="667" w:type="dxa"/>
            <w:shd w:val="clear" w:color="auto" w:fill="D9D9D9" w:themeFill="background1" w:themeFillShade="D9"/>
            <w:noWrap/>
          </w:tcPr>
          <w:p w14:paraId="14D4166F"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w:t>
            </w:r>
          </w:p>
        </w:tc>
        <w:tc>
          <w:tcPr>
            <w:tcW w:w="667" w:type="dxa"/>
            <w:noWrap/>
          </w:tcPr>
          <w:p w14:paraId="276D61AA"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w:t>
            </w:r>
          </w:p>
        </w:tc>
        <w:tc>
          <w:tcPr>
            <w:tcW w:w="667" w:type="dxa"/>
            <w:shd w:val="clear" w:color="auto" w:fill="D9D9D9" w:themeFill="background1" w:themeFillShade="D9"/>
            <w:noWrap/>
          </w:tcPr>
          <w:p w14:paraId="2A487939"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3</w:t>
            </w:r>
          </w:p>
        </w:tc>
      </w:tr>
      <w:tr w:rsidR="003D48AE" w14:paraId="7C1599AC" w14:textId="77777777" w:rsidTr="00E92831">
        <w:trPr>
          <w:trHeight w:val="255"/>
        </w:trPr>
        <w:tc>
          <w:tcPr>
            <w:tcW w:w="1457" w:type="dxa"/>
            <w:noWrap/>
          </w:tcPr>
          <w:p w14:paraId="14E4FC1E" w14:textId="77777777" w:rsidR="003D48AE" w:rsidRPr="004C7F1F" w:rsidRDefault="009C010A" w:rsidP="00E92831">
            <w:pPr>
              <w:spacing w:before="80" w:after="80" w:line="240" w:lineRule="auto"/>
              <w:rPr>
                <w:rFonts w:ascii="Arial" w:eastAsia="Times New Roman" w:hAnsi="Arial" w:cs="Arial"/>
                <w:kern w:val="0"/>
                <w:sz w:val="18"/>
                <w:szCs w:val="18"/>
                <w:lang w:val="el-GR" w:eastAsia="de-DE"/>
                <w14:ligatures w14:val="none"/>
              </w:rPr>
            </w:pPr>
            <w:r w:rsidRPr="004C7F1F">
              <w:rPr>
                <w:rFonts w:ascii="Arial" w:eastAsia="Times New Roman" w:hAnsi="Arial" w:cs="Arial"/>
                <w:kern w:val="0"/>
                <w:sz w:val="18"/>
                <w:szCs w:val="18"/>
                <w:lang w:val="el-GR" w:eastAsia="de-DE"/>
                <w14:ligatures w14:val="none"/>
              </w:rPr>
              <w:t>Άλλες εφάπαξ παροχές σε χρήμα</w:t>
            </w:r>
          </w:p>
        </w:tc>
        <w:tc>
          <w:tcPr>
            <w:tcW w:w="667" w:type="dxa"/>
            <w:shd w:val="clear" w:color="auto" w:fill="D9D9D9" w:themeFill="background1" w:themeFillShade="D9"/>
            <w:noWrap/>
          </w:tcPr>
          <w:p w14:paraId="2FA8D754"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9</w:t>
            </w:r>
          </w:p>
        </w:tc>
        <w:tc>
          <w:tcPr>
            <w:tcW w:w="667" w:type="dxa"/>
            <w:noWrap/>
          </w:tcPr>
          <w:p w14:paraId="7B596F7A"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3</w:t>
            </w:r>
          </w:p>
        </w:tc>
        <w:tc>
          <w:tcPr>
            <w:tcW w:w="667" w:type="dxa"/>
            <w:shd w:val="clear" w:color="auto" w:fill="D9D9D9" w:themeFill="background1" w:themeFillShade="D9"/>
            <w:noWrap/>
          </w:tcPr>
          <w:p w14:paraId="3116A3D7"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w:t>
            </w:r>
          </w:p>
        </w:tc>
        <w:tc>
          <w:tcPr>
            <w:tcW w:w="667" w:type="dxa"/>
            <w:noWrap/>
          </w:tcPr>
          <w:p w14:paraId="4C984725"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w:t>
            </w:r>
          </w:p>
        </w:tc>
        <w:tc>
          <w:tcPr>
            <w:tcW w:w="667" w:type="dxa"/>
            <w:shd w:val="clear" w:color="auto" w:fill="D9D9D9" w:themeFill="background1" w:themeFillShade="D9"/>
            <w:noWrap/>
          </w:tcPr>
          <w:p w14:paraId="08EE40B2"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w:t>
            </w:r>
          </w:p>
        </w:tc>
        <w:tc>
          <w:tcPr>
            <w:tcW w:w="667" w:type="dxa"/>
            <w:noWrap/>
          </w:tcPr>
          <w:p w14:paraId="37348F82"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w:t>
            </w:r>
          </w:p>
        </w:tc>
        <w:tc>
          <w:tcPr>
            <w:tcW w:w="667" w:type="dxa"/>
            <w:shd w:val="clear" w:color="auto" w:fill="D9D9D9" w:themeFill="background1" w:themeFillShade="D9"/>
            <w:noWrap/>
          </w:tcPr>
          <w:p w14:paraId="76723375"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w:t>
            </w:r>
          </w:p>
        </w:tc>
        <w:tc>
          <w:tcPr>
            <w:tcW w:w="667" w:type="dxa"/>
            <w:noWrap/>
          </w:tcPr>
          <w:p w14:paraId="162D096A"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w:t>
            </w:r>
          </w:p>
        </w:tc>
        <w:tc>
          <w:tcPr>
            <w:tcW w:w="667" w:type="dxa"/>
            <w:shd w:val="clear" w:color="auto" w:fill="D9D9D9" w:themeFill="background1" w:themeFillShade="D9"/>
            <w:noWrap/>
          </w:tcPr>
          <w:p w14:paraId="58CEEF5D"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w:t>
            </w:r>
          </w:p>
        </w:tc>
        <w:tc>
          <w:tcPr>
            <w:tcW w:w="667" w:type="dxa"/>
            <w:noWrap/>
          </w:tcPr>
          <w:p w14:paraId="15C1A40C"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w:t>
            </w:r>
          </w:p>
        </w:tc>
        <w:tc>
          <w:tcPr>
            <w:tcW w:w="667" w:type="dxa"/>
            <w:shd w:val="clear" w:color="auto" w:fill="D9D9D9" w:themeFill="background1" w:themeFillShade="D9"/>
            <w:noWrap/>
          </w:tcPr>
          <w:p w14:paraId="40BF0AFE"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3</w:t>
            </w:r>
          </w:p>
        </w:tc>
      </w:tr>
      <w:tr w:rsidR="003D48AE" w14:paraId="0C1C7D18" w14:textId="77777777" w:rsidTr="00E92831">
        <w:trPr>
          <w:trHeight w:val="255"/>
        </w:trPr>
        <w:tc>
          <w:tcPr>
            <w:tcW w:w="1457" w:type="dxa"/>
            <w:noWrap/>
          </w:tcPr>
          <w:p w14:paraId="63B54ECC" w14:textId="77777777" w:rsidR="003D48AE" w:rsidRPr="004C7F1F" w:rsidRDefault="009C010A" w:rsidP="00E92831">
            <w:pPr>
              <w:spacing w:before="80" w:after="80" w:line="240" w:lineRule="auto"/>
              <w:rPr>
                <w:rFonts w:ascii="Arial" w:eastAsia="Times New Roman" w:hAnsi="Arial" w:cs="Arial"/>
                <w:b/>
                <w:bCs/>
                <w:kern w:val="0"/>
                <w:sz w:val="18"/>
                <w:szCs w:val="18"/>
                <w:lang w:val="el-GR" w:eastAsia="de-DE"/>
                <w14:ligatures w14:val="none"/>
              </w:rPr>
            </w:pPr>
            <w:r w:rsidRPr="004C7F1F">
              <w:rPr>
                <w:rFonts w:ascii="Arial" w:eastAsia="Times New Roman" w:hAnsi="Arial" w:cs="Arial"/>
                <w:b/>
                <w:bCs/>
                <w:kern w:val="0"/>
                <w:sz w:val="18"/>
                <w:szCs w:val="18"/>
                <w:lang w:val="el-GR" w:eastAsia="de-DE"/>
                <w14:ligatures w14:val="none"/>
              </w:rPr>
              <w:t>Παροχές σε είδος</w:t>
            </w:r>
          </w:p>
        </w:tc>
        <w:tc>
          <w:tcPr>
            <w:tcW w:w="667" w:type="dxa"/>
            <w:shd w:val="clear" w:color="auto" w:fill="D9D9D9" w:themeFill="background1" w:themeFillShade="D9"/>
            <w:noWrap/>
          </w:tcPr>
          <w:p w14:paraId="3D9CD6EE"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29</w:t>
            </w:r>
          </w:p>
        </w:tc>
        <w:tc>
          <w:tcPr>
            <w:tcW w:w="667" w:type="dxa"/>
            <w:noWrap/>
          </w:tcPr>
          <w:p w14:paraId="44EE34BD"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53</w:t>
            </w:r>
          </w:p>
        </w:tc>
        <w:tc>
          <w:tcPr>
            <w:tcW w:w="667" w:type="dxa"/>
            <w:shd w:val="clear" w:color="auto" w:fill="D9D9D9" w:themeFill="background1" w:themeFillShade="D9"/>
            <w:noWrap/>
          </w:tcPr>
          <w:p w14:paraId="016A0D0E"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46</w:t>
            </w:r>
          </w:p>
        </w:tc>
        <w:tc>
          <w:tcPr>
            <w:tcW w:w="667" w:type="dxa"/>
            <w:noWrap/>
          </w:tcPr>
          <w:p w14:paraId="5C83961F"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78</w:t>
            </w:r>
          </w:p>
        </w:tc>
        <w:tc>
          <w:tcPr>
            <w:tcW w:w="667" w:type="dxa"/>
            <w:shd w:val="clear" w:color="auto" w:fill="D9D9D9" w:themeFill="background1" w:themeFillShade="D9"/>
            <w:noWrap/>
          </w:tcPr>
          <w:p w14:paraId="3F22FA68"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54</w:t>
            </w:r>
          </w:p>
        </w:tc>
        <w:tc>
          <w:tcPr>
            <w:tcW w:w="667" w:type="dxa"/>
            <w:noWrap/>
          </w:tcPr>
          <w:p w14:paraId="3BED303D"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72</w:t>
            </w:r>
          </w:p>
        </w:tc>
        <w:tc>
          <w:tcPr>
            <w:tcW w:w="667" w:type="dxa"/>
            <w:shd w:val="clear" w:color="auto" w:fill="D9D9D9" w:themeFill="background1" w:themeFillShade="D9"/>
            <w:noWrap/>
          </w:tcPr>
          <w:p w14:paraId="15606071"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115</w:t>
            </w:r>
          </w:p>
        </w:tc>
        <w:tc>
          <w:tcPr>
            <w:tcW w:w="667" w:type="dxa"/>
            <w:noWrap/>
          </w:tcPr>
          <w:p w14:paraId="2D607F15"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70</w:t>
            </w:r>
          </w:p>
        </w:tc>
        <w:tc>
          <w:tcPr>
            <w:tcW w:w="667" w:type="dxa"/>
            <w:shd w:val="clear" w:color="auto" w:fill="D9D9D9" w:themeFill="background1" w:themeFillShade="D9"/>
            <w:noWrap/>
          </w:tcPr>
          <w:p w14:paraId="69F80CA9"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68</w:t>
            </w:r>
          </w:p>
        </w:tc>
        <w:tc>
          <w:tcPr>
            <w:tcW w:w="667" w:type="dxa"/>
            <w:noWrap/>
          </w:tcPr>
          <w:p w14:paraId="6C0AACE6"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66</w:t>
            </w:r>
          </w:p>
        </w:tc>
        <w:tc>
          <w:tcPr>
            <w:tcW w:w="667" w:type="dxa"/>
            <w:shd w:val="clear" w:color="auto" w:fill="D9D9D9" w:themeFill="background1" w:themeFillShade="D9"/>
            <w:noWrap/>
          </w:tcPr>
          <w:p w14:paraId="7097D6E8"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67</w:t>
            </w:r>
          </w:p>
        </w:tc>
      </w:tr>
      <w:tr w:rsidR="003D48AE" w14:paraId="6FD27FFF" w14:textId="77777777" w:rsidTr="00E92831">
        <w:trPr>
          <w:trHeight w:val="255"/>
        </w:trPr>
        <w:tc>
          <w:tcPr>
            <w:tcW w:w="1457" w:type="dxa"/>
            <w:noWrap/>
          </w:tcPr>
          <w:p w14:paraId="3BF7AA1B" w14:textId="77777777" w:rsidR="003D48AE" w:rsidRPr="004C7F1F" w:rsidRDefault="009C010A" w:rsidP="00E92831">
            <w:pPr>
              <w:spacing w:before="80" w:after="80" w:line="240" w:lineRule="auto"/>
              <w:rPr>
                <w:rFonts w:ascii="Arial" w:eastAsia="Times New Roman" w:hAnsi="Arial" w:cs="Arial"/>
                <w:kern w:val="0"/>
                <w:sz w:val="18"/>
                <w:szCs w:val="18"/>
                <w:lang w:val="el-GR" w:eastAsia="de-DE"/>
                <w14:ligatures w14:val="none"/>
              </w:rPr>
            </w:pPr>
            <w:r w:rsidRPr="004C7F1F">
              <w:rPr>
                <w:rFonts w:ascii="Arial" w:eastAsia="Times New Roman" w:hAnsi="Arial" w:cs="Arial"/>
                <w:kern w:val="0"/>
                <w:sz w:val="18"/>
                <w:szCs w:val="18"/>
                <w:lang w:val="el-GR" w:eastAsia="de-DE"/>
                <w14:ligatures w14:val="none"/>
              </w:rPr>
              <w:t>Διαμονή</w:t>
            </w:r>
          </w:p>
        </w:tc>
        <w:tc>
          <w:tcPr>
            <w:tcW w:w="667" w:type="dxa"/>
            <w:shd w:val="clear" w:color="auto" w:fill="D9D9D9" w:themeFill="background1" w:themeFillShade="D9"/>
            <w:noWrap/>
          </w:tcPr>
          <w:p w14:paraId="2745A3FA"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noWrap/>
          </w:tcPr>
          <w:p w14:paraId="35B08350"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4FAA7791"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noWrap/>
          </w:tcPr>
          <w:p w14:paraId="59B9D7E8"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499CBE24"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noWrap/>
          </w:tcPr>
          <w:p w14:paraId="1D374345"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6C1C7FE3"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noWrap/>
          </w:tcPr>
          <w:p w14:paraId="1C630ECB"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1F3B47CE"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noWrap/>
          </w:tcPr>
          <w:p w14:paraId="403E7D4E"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385A0083"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r>
      <w:tr w:rsidR="003D48AE" w14:paraId="19904470" w14:textId="77777777" w:rsidTr="00E92831">
        <w:trPr>
          <w:trHeight w:val="255"/>
        </w:trPr>
        <w:tc>
          <w:tcPr>
            <w:tcW w:w="1457" w:type="dxa"/>
            <w:noWrap/>
          </w:tcPr>
          <w:p w14:paraId="798554BE" w14:textId="77777777" w:rsidR="003D48AE" w:rsidRPr="004C7F1F" w:rsidRDefault="009C010A" w:rsidP="00E92831">
            <w:pPr>
              <w:spacing w:before="80" w:after="80" w:line="240" w:lineRule="auto"/>
              <w:rPr>
                <w:rFonts w:ascii="Arial" w:eastAsia="Times New Roman" w:hAnsi="Arial" w:cs="Arial"/>
                <w:kern w:val="0"/>
                <w:sz w:val="18"/>
                <w:szCs w:val="18"/>
                <w:lang w:val="el-GR" w:eastAsia="de-DE"/>
                <w14:ligatures w14:val="none"/>
              </w:rPr>
            </w:pPr>
            <w:r w:rsidRPr="004C7F1F">
              <w:rPr>
                <w:rFonts w:ascii="Arial" w:eastAsia="Times New Roman" w:hAnsi="Arial" w:cs="Arial"/>
                <w:kern w:val="0"/>
                <w:sz w:val="18"/>
                <w:szCs w:val="18"/>
                <w:lang w:val="el-GR" w:eastAsia="de-DE"/>
                <w14:ligatures w14:val="none"/>
              </w:rPr>
              <w:t>Βοήθεια στις καθημερινές δραστηριότητες</w:t>
            </w:r>
          </w:p>
        </w:tc>
        <w:tc>
          <w:tcPr>
            <w:tcW w:w="667" w:type="dxa"/>
            <w:shd w:val="clear" w:color="auto" w:fill="D9D9D9" w:themeFill="background1" w:themeFillShade="D9"/>
            <w:noWrap/>
          </w:tcPr>
          <w:p w14:paraId="0B10E7A6"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noWrap/>
          </w:tcPr>
          <w:p w14:paraId="22939111"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1230F0C7"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noWrap/>
          </w:tcPr>
          <w:p w14:paraId="7A91AD39"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41AF66FB"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noWrap/>
          </w:tcPr>
          <w:p w14:paraId="010E8E05"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266AF956"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noWrap/>
          </w:tcPr>
          <w:p w14:paraId="70EC0F76"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2B1A288D"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noWrap/>
          </w:tcPr>
          <w:p w14:paraId="25928310"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00BACE7D"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r>
      <w:tr w:rsidR="003D48AE" w14:paraId="471B6824" w14:textId="77777777" w:rsidTr="00E92831">
        <w:trPr>
          <w:trHeight w:val="255"/>
        </w:trPr>
        <w:tc>
          <w:tcPr>
            <w:tcW w:w="1457" w:type="dxa"/>
            <w:noWrap/>
          </w:tcPr>
          <w:p w14:paraId="4E9E4AEA" w14:textId="77777777" w:rsidR="003D48AE" w:rsidRPr="004C7F1F" w:rsidRDefault="009C010A" w:rsidP="00E92831">
            <w:pPr>
              <w:spacing w:before="80" w:after="80" w:line="240" w:lineRule="auto"/>
              <w:rPr>
                <w:rFonts w:ascii="Arial" w:eastAsia="Times New Roman" w:hAnsi="Arial" w:cs="Arial"/>
                <w:kern w:val="0"/>
                <w:sz w:val="18"/>
                <w:szCs w:val="18"/>
                <w:lang w:val="el-GR" w:eastAsia="de-DE"/>
                <w14:ligatures w14:val="none"/>
              </w:rPr>
            </w:pPr>
            <w:r w:rsidRPr="004C7F1F">
              <w:rPr>
                <w:rFonts w:ascii="Arial" w:eastAsia="Times New Roman" w:hAnsi="Arial" w:cs="Arial"/>
                <w:kern w:val="0"/>
                <w:sz w:val="18"/>
                <w:szCs w:val="18"/>
                <w:lang w:val="el-GR" w:eastAsia="de-DE"/>
                <w14:ligatures w14:val="none"/>
              </w:rPr>
              <w:t>Αποκατάσταση - επανένταξη</w:t>
            </w:r>
          </w:p>
        </w:tc>
        <w:tc>
          <w:tcPr>
            <w:tcW w:w="667" w:type="dxa"/>
            <w:shd w:val="clear" w:color="auto" w:fill="D9D9D9" w:themeFill="background1" w:themeFillShade="D9"/>
            <w:noWrap/>
          </w:tcPr>
          <w:p w14:paraId="29ACCA43"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29</w:t>
            </w:r>
          </w:p>
        </w:tc>
        <w:tc>
          <w:tcPr>
            <w:tcW w:w="667" w:type="dxa"/>
            <w:noWrap/>
          </w:tcPr>
          <w:p w14:paraId="64D84700"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53</w:t>
            </w:r>
          </w:p>
        </w:tc>
        <w:tc>
          <w:tcPr>
            <w:tcW w:w="667" w:type="dxa"/>
            <w:shd w:val="clear" w:color="auto" w:fill="D9D9D9" w:themeFill="background1" w:themeFillShade="D9"/>
            <w:noWrap/>
          </w:tcPr>
          <w:p w14:paraId="5828C2F6"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46</w:t>
            </w:r>
          </w:p>
        </w:tc>
        <w:tc>
          <w:tcPr>
            <w:tcW w:w="667" w:type="dxa"/>
            <w:noWrap/>
          </w:tcPr>
          <w:p w14:paraId="2ECC29CA"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78</w:t>
            </w:r>
          </w:p>
        </w:tc>
        <w:tc>
          <w:tcPr>
            <w:tcW w:w="667" w:type="dxa"/>
            <w:shd w:val="clear" w:color="auto" w:fill="D9D9D9" w:themeFill="background1" w:themeFillShade="D9"/>
            <w:noWrap/>
          </w:tcPr>
          <w:p w14:paraId="696BFCBA"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54</w:t>
            </w:r>
          </w:p>
        </w:tc>
        <w:tc>
          <w:tcPr>
            <w:tcW w:w="667" w:type="dxa"/>
            <w:noWrap/>
          </w:tcPr>
          <w:p w14:paraId="6ECB5D4F"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72</w:t>
            </w:r>
          </w:p>
        </w:tc>
        <w:tc>
          <w:tcPr>
            <w:tcW w:w="667" w:type="dxa"/>
            <w:shd w:val="clear" w:color="auto" w:fill="D9D9D9" w:themeFill="background1" w:themeFillShade="D9"/>
            <w:noWrap/>
          </w:tcPr>
          <w:p w14:paraId="0AC79591"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115</w:t>
            </w:r>
          </w:p>
        </w:tc>
        <w:tc>
          <w:tcPr>
            <w:tcW w:w="667" w:type="dxa"/>
            <w:noWrap/>
          </w:tcPr>
          <w:p w14:paraId="25C18483"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70</w:t>
            </w:r>
          </w:p>
        </w:tc>
        <w:tc>
          <w:tcPr>
            <w:tcW w:w="667" w:type="dxa"/>
            <w:shd w:val="clear" w:color="auto" w:fill="D9D9D9" w:themeFill="background1" w:themeFillShade="D9"/>
            <w:noWrap/>
          </w:tcPr>
          <w:p w14:paraId="0C056F35"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68</w:t>
            </w:r>
          </w:p>
        </w:tc>
        <w:tc>
          <w:tcPr>
            <w:tcW w:w="667" w:type="dxa"/>
            <w:noWrap/>
          </w:tcPr>
          <w:p w14:paraId="47880105"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66</w:t>
            </w:r>
          </w:p>
        </w:tc>
        <w:tc>
          <w:tcPr>
            <w:tcW w:w="667" w:type="dxa"/>
            <w:shd w:val="clear" w:color="auto" w:fill="D9D9D9" w:themeFill="background1" w:themeFillShade="D9"/>
            <w:noWrap/>
          </w:tcPr>
          <w:p w14:paraId="479C0292"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67</w:t>
            </w:r>
          </w:p>
        </w:tc>
      </w:tr>
      <w:tr w:rsidR="003D48AE" w14:paraId="76F6322A" w14:textId="77777777" w:rsidTr="00E92831">
        <w:trPr>
          <w:trHeight w:val="255"/>
        </w:trPr>
        <w:tc>
          <w:tcPr>
            <w:tcW w:w="1457" w:type="dxa"/>
            <w:noWrap/>
          </w:tcPr>
          <w:p w14:paraId="01770366" w14:textId="77777777" w:rsidR="003D48AE" w:rsidRPr="004C7F1F" w:rsidRDefault="009C010A" w:rsidP="00E92831">
            <w:pPr>
              <w:spacing w:before="80" w:after="80" w:line="240" w:lineRule="auto"/>
              <w:rPr>
                <w:rFonts w:ascii="Arial" w:eastAsia="Times New Roman" w:hAnsi="Arial" w:cs="Arial"/>
                <w:kern w:val="0"/>
                <w:sz w:val="18"/>
                <w:szCs w:val="18"/>
                <w:lang w:val="el-GR" w:eastAsia="de-DE"/>
                <w14:ligatures w14:val="none"/>
              </w:rPr>
            </w:pPr>
            <w:r w:rsidRPr="004C7F1F">
              <w:rPr>
                <w:rFonts w:ascii="Arial" w:eastAsia="Times New Roman" w:hAnsi="Arial" w:cs="Arial"/>
                <w:kern w:val="0"/>
                <w:sz w:val="18"/>
                <w:szCs w:val="18"/>
                <w:lang w:val="el-GR" w:eastAsia="de-DE"/>
                <w14:ligatures w14:val="none"/>
              </w:rPr>
              <w:t>Άλλες παροχές σε είδος</w:t>
            </w:r>
          </w:p>
        </w:tc>
        <w:tc>
          <w:tcPr>
            <w:tcW w:w="667" w:type="dxa"/>
            <w:shd w:val="clear" w:color="auto" w:fill="D9D9D9" w:themeFill="background1" w:themeFillShade="D9"/>
            <w:noWrap/>
          </w:tcPr>
          <w:p w14:paraId="4DCA1D1F"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noWrap/>
          </w:tcPr>
          <w:p w14:paraId="5DCC0986"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7796481F"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noWrap/>
          </w:tcPr>
          <w:p w14:paraId="5B59C36C"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1DAAF14F"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noWrap/>
          </w:tcPr>
          <w:p w14:paraId="41F82CD4"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68DCA5A4"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noWrap/>
          </w:tcPr>
          <w:p w14:paraId="73CB829B"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615E6214"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noWrap/>
          </w:tcPr>
          <w:p w14:paraId="7CE57726"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0A18DD80"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r>
      <w:tr w:rsidR="003D48AE" w14:paraId="119DCAF7" w14:textId="77777777" w:rsidTr="00E92831">
        <w:trPr>
          <w:trHeight w:val="255"/>
        </w:trPr>
        <w:tc>
          <w:tcPr>
            <w:tcW w:w="1457" w:type="dxa"/>
            <w:noWrap/>
          </w:tcPr>
          <w:p w14:paraId="5DEF7E13" w14:textId="77777777" w:rsidR="003D48AE" w:rsidRPr="004C7F1F" w:rsidRDefault="009C010A" w:rsidP="00E92831">
            <w:pPr>
              <w:spacing w:before="80" w:after="80" w:line="240" w:lineRule="auto"/>
              <w:rPr>
                <w:rFonts w:ascii="Arial" w:eastAsia="Times New Roman" w:hAnsi="Arial" w:cs="Arial"/>
                <w:b/>
                <w:bCs/>
                <w:kern w:val="0"/>
                <w:sz w:val="18"/>
                <w:szCs w:val="18"/>
                <w:lang w:val="el-GR" w:eastAsia="de-DE"/>
                <w14:ligatures w14:val="none"/>
              </w:rPr>
            </w:pPr>
            <w:r w:rsidRPr="004C7F1F">
              <w:rPr>
                <w:rFonts w:ascii="Arial" w:eastAsia="Times New Roman" w:hAnsi="Arial" w:cs="Arial"/>
                <w:b/>
                <w:bCs/>
                <w:kern w:val="0"/>
                <w:sz w:val="18"/>
                <w:szCs w:val="18"/>
                <w:lang w:val="el-GR" w:eastAsia="de-DE"/>
                <w14:ligatures w14:val="none"/>
              </w:rPr>
              <w:t>Με βάση εισοδηματικά κριτήρια (χαμηλά εισοδήματα)</w:t>
            </w:r>
          </w:p>
        </w:tc>
        <w:tc>
          <w:tcPr>
            <w:tcW w:w="667" w:type="dxa"/>
            <w:shd w:val="clear" w:color="auto" w:fill="D9D9D9" w:themeFill="background1" w:themeFillShade="D9"/>
            <w:noWrap/>
          </w:tcPr>
          <w:p w14:paraId="47C492D1"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132</w:t>
            </w:r>
          </w:p>
        </w:tc>
        <w:tc>
          <w:tcPr>
            <w:tcW w:w="667" w:type="dxa"/>
            <w:noWrap/>
          </w:tcPr>
          <w:p w14:paraId="5B4135B0"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133</w:t>
            </w:r>
          </w:p>
        </w:tc>
        <w:tc>
          <w:tcPr>
            <w:tcW w:w="667" w:type="dxa"/>
            <w:shd w:val="clear" w:color="auto" w:fill="D9D9D9" w:themeFill="background1" w:themeFillShade="D9"/>
            <w:noWrap/>
          </w:tcPr>
          <w:p w14:paraId="6FB59200"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98</w:t>
            </w:r>
          </w:p>
        </w:tc>
        <w:tc>
          <w:tcPr>
            <w:tcW w:w="667" w:type="dxa"/>
            <w:noWrap/>
          </w:tcPr>
          <w:p w14:paraId="23AF0DE0"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39</w:t>
            </w:r>
          </w:p>
        </w:tc>
        <w:tc>
          <w:tcPr>
            <w:tcW w:w="667" w:type="dxa"/>
            <w:shd w:val="clear" w:color="auto" w:fill="D9D9D9" w:themeFill="background1" w:themeFillShade="D9"/>
            <w:noWrap/>
          </w:tcPr>
          <w:p w14:paraId="0DB4183B"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33</w:t>
            </w:r>
          </w:p>
        </w:tc>
        <w:tc>
          <w:tcPr>
            <w:tcW w:w="667" w:type="dxa"/>
            <w:noWrap/>
          </w:tcPr>
          <w:p w14:paraId="51123858"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24</w:t>
            </w:r>
          </w:p>
        </w:tc>
        <w:tc>
          <w:tcPr>
            <w:tcW w:w="667" w:type="dxa"/>
            <w:shd w:val="clear" w:color="auto" w:fill="D9D9D9" w:themeFill="background1" w:themeFillShade="D9"/>
            <w:noWrap/>
          </w:tcPr>
          <w:p w14:paraId="4308688D"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25</w:t>
            </w:r>
          </w:p>
        </w:tc>
        <w:tc>
          <w:tcPr>
            <w:tcW w:w="667" w:type="dxa"/>
            <w:noWrap/>
          </w:tcPr>
          <w:p w14:paraId="349FC83C"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16</w:t>
            </w:r>
          </w:p>
        </w:tc>
        <w:tc>
          <w:tcPr>
            <w:tcW w:w="667" w:type="dxa"/>
            <w:shd w:val="clear" w:color="auto" w:fill="D9D9D9" w:themeFill="background1" w:themeFillShade="D9"/>
            <w:noWrap/>
          </w:tcPr>
          <w:p w14:paraId="70D1658F"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3</w:t>
            </w:r>
          </w:p>
        </w:tc>
        <w:tc>
          <w:tcPr>
            <w:tcW w:w="667" w:type="dxa"/>
            <w:noWrap/>
          </w:tcPr>
          <w:p w14:paraId="2C320EE5"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3</w:t>
            </w:r>
          </w:p>
        </w:tc>
        <w:tc>
          <w:tcPr>
            <w:tcW w:w="667" w:type="dxa"/>
            <w:shd w:val="clear" w:color="auto" w:fill="D9D9D9" w:themeFill="background1" w:themeFillShade="D9"/>
            <w:noWrap/>
          </w:tcPr>
          <w:p w14:paraId="1772290E" w14:textId="77777777" w:rsidR="003D48AE" w:rsidRDefault="009C010A" w:rsidP="00E92831">
            <w:pPr>
              <w:spacing w:before="80" w:after="80" w:line="240" w:lineRule="auto"/>
              <w:jc w:val="right"/>
              <w:rPr>
                <w:rFonts w:ascii="Arial" w:eastAsia="Times New Roman" w:hAnsi="Arial" w:cs="Arial"/>
                <w:b/>
                <w:bCs/>
                <w:kern w:val="0"/>
                <w:sz w:val="18"/>
                <w:szCs w:val="18"/>
                <w:lang w:eastAsia="de-DE"/>
                <w14:ligatures w14:val="none"/>
              </w:rPr>
            </w:pPr>
            <w:r>
              <w:rPr>
                <w:rFonts w:ascii="Arial" w:eastAsia="Times New Roman" w:hAnsi="Arial" w:cs="Arial"/>
                <w:b/>
                <w:bCs/>
                <w:kern w:val="0"/>
                <w:sz w:val="18"/>
                <w:szCs w:val="18"/>
                <w:lang w:eastAsia="de-DE"/>
                <w14:ligatures w14:val="none"/>
              </w:rPr>
              <w:t>3</w:t>
            </w:r>
          </w:p>
        </w:tc>
      </w:tr>
      <w:tr w:rsidR="003D48AE" w14:paraId="257AD0B9" w14:textId="77777777" w:rsidTr="00E92831">
        <w:trPr>
          <w:trHeight w:val="255"/>
        </w:trPr>
        <w:tc>
          <w:tcPr>
            <w:tcW w:w="1457" w:type="dxa"/>
            <w:noWrap/>
          </w:tcPr>
          <w:p w14:paraId="6D802724" w14:textId="77777777" w:rsidR="003D48AE" w:rsidRPr="004C7F1F" w:rsidRDefault="009C010A" w:rsidP="00E92831">
            <w:pPr>
              <w:spacing w:before="80" w:after="80" w:line="240" w:lineRule="auto"/>
              <w:rPr>
                <w:rFonts w:ascii="Arial" w:eastAsia="Times New Roman" w:hAnsi="Arial" w:cs="Arial"/>
                <w:kern w:val="0"/>
                <w:sz w:val="18"/>
                <w:szCs w:val="18"/>
                <w:lang w:val="el-GR" w:eastAsia="de-DE"/>
                <w14:ligatures w14:val="none"/>
              </w:rPr>
            </w:pPr>
            <w:r w:rsidRPr="004C7F1F">
              <w:rPr>
                <w:rFonts w:ascii="Arial" w:eastAsia="Times New Roman" w:hAnsi="Arial" w:cs="Arial"/>
                <w:kern w:val="0"/>
                <w:sz w:val="18"/>
                <w:szCs w:val="18"/>
                <w:lang w:val="el-GR" w:eastAsia="de-DE"/>
                <w14:ligatures w14:val="none"/>
              </w:rPr>
              <w:t>Παροχές σε χρήμα</w:t>
            </w:r>
          </w:p>
        </w:tc>
        <w:tc>
          <w:tcPr>
            <w:tcW w:w="667" w:type="dxa"/>
            <w:shd w:val="clear" w:color="auto" w:fill="D9D9D9" w:themeFill="background1" w:themeFillShade="D9"/>
            <w:noWrap/>
          </w:tcPr>
          <w:p w14:paraId="686A7FDE"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111</w:t>
            </w:r>
          </w:p>
        </w:tc>
        <w:tc>
          <w:tcPr>
            <w:tcW w:w="667" w:type="dxa"/>
            <w:noWrap/>
          </w:tcPr>
          <w:p w14:paraId="58B86826"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102</w:t>
            </w:r>
          </w:p>
        </w:tc>
        <w:tc>
          <w:tcPr>
            <w:tcW w:w="667" w:type="dxa"/>
            <w:shd w:val="clear" w:color="auto" w:fill="D9D9D9" w:themeFill="background1" w:themeFillShade="D9"/>
            <w:noWrap/>
          </w:tcPr>
          <w:p w14:paraId="3580675A"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71</w:t>
            </w:r>
          </w:p>
        </w:tc>
        <w:tc>
          <w:tcPr>
            <w:tcW w:w="667" w:type="dxa"/>
            <w:noWrap/>
          </w:tcPr>
          <w:p w14:paraId="1A09B09A"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17</w:t>
            </w:r>
          </w:p>
        </w:tc>
        <w:tc>
          <w:tcPr>
            <w:tcW w:w="667" w:type="dxa"/>
            <w:shd w:val="clear" w:color="auto" w:fill="D9D9D9" w:themeFill="background1" w:themeFillShade="D9"/>
            <w:noWrap/>
          </w:tcPr>
          <w:p w14:paraId="00C8D3AC"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11</w:t>
            </w:r>
          </w:p>
        </w:tc>
        <w:tc>
          <w:tcPr>
            <w:tcW w:w="667" w:type="dxa"/>
            <w:noWrap/>
          </w:tcPr>
          <w:p w14:paraId="336D2B27"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4</w:t>
            </w:r>
          </w:p>
        </w:tc>
        <w:tc>
          <w:tcPr>
            <w:tcW w:w="667" w:type="dxa"/>
            <w:shd w:val="clear" w:color="auto" w:fill="D9D9D9" w:themeFill="background1" w:themeFillShade="D9"/>
            <w:noWrap/>
          </w:tcPr>
          <w:p w14:paraId="7E1D3D73"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w:t>
            </w:r>
          </w:p>
        </w:tc>
        <w:tc>
          <w:tcPr>
            <w:tcW w:w="667" w:type="dxa"/>
            <w:noWrap/>
          </w:tcPr>
          <w:p w14:paraId="42CB58A7"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0E14E83F"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noWrap/>
          </w:tcPr>
          <w:p w14:paraId="531E69BD"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c>
          <w:tcPr>
            <w:tcW w:w="667" w:type="dxa"/>
            <w:shd w:val="clear" w:color="auto" w:fill="D9D9D9" w:themeFill="background1" w:themeFillShade="D9"/>
            <w:noWrap/>
          </w:tcPr>
          <w:p w14:paraId="50CB61FC"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0</w:t>
            </w:r>
          </w:p>
        </w:tc>
      </w:tr>
      <w:tr w:rsidR="003D48AE" w14:paraId="341EB177" w14:textId="77777777" w:rsidTr="00E92831">
        <w:trPr>
          <w:trHeight w:val="255"/>
        </w:trPr>
        <w:tc>
          <w:tcPr>
            <w:tcW w:w="1457" w:type="dxa"/>
            <w:noWrap/>
          </w:tcPr>
          <w:p w14:paraId="73A60A51" w14:textId="77777777" w:rsidR="003D48AE" w:rsidRPr="004C7F1F" w:rsidRDefault="009C010A" w:rsidP="00E92831">
            <w:pPr>
              <w:spacing w:before="80" w:after="80" w:line="240" w:lineRule="auto"/>
              <w:rPr>
                <w:rFonts w:ascii="Arial" w:eastAsia="Times New Roman" w:hAnsi="Arial" w:cs="Arial"/>
                <w:kern w:val="0"/>
                <w:sz w:val="18"/>
                <w:szCs w:val="18"/>
                <w:lang w:val="el-GR" w:eastAsia="de-DE"/>
                <w14:ligatures w14:val="none"/>
              </w:rPr>
            </w:pPr>
            <w:r w:rsidRPr="004C7F1F">
              <w:rPr>
                <w:rFonts w:ascii="Arial" w:eastAsia="Times New Roman" w:hAnsi="Arial" w:cs="Arial"/>
                <w:kern w:val="0"/>
                <w:sz w:val="18"/>
                <w:szCs w:val="18"/>
                <w:lang w:val="el-GR" w:eastAsia="de-DE"/>
                <w14:ligatures w14:val="none"/>
              </w:rPr>
              <w:t>Παροχές σε είδος</w:t>
            </w:r>
          </w:p>
        </w:tc>
        <w:tc>
          <w:tcPr>
            <w:tcW w:w="667" w:type="dxa"/>
            <w:shd w:val="clear" w:color="auto" w:fill="D9D9D9" w:themeFill="background1" w:themeFillShade="D9"/>
            <w:noWrap/>
          </w:tcPr>
          <w:p w14:paraId="43E6BFB5"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21</w:t>
            </w:r>
          </w:p>
        </w:tc>
        <w:tc>
          <w:tcPr>
            <w:tcW w:w="667" w:type="dxa"/>
            <w:noWrap/>
          </w:tcPr>
          <w:p w14:paraId="06556D61"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31</w:t>
            </w:r>
          </w:p>
        </w:tc>
        <w:tc>
          <w:tcPr>
            <w:tcW w:w="667" w:type="dxa"/>
            <w:shd w:val="clear" w:color="auto" w:fill="D9D9D9" w:themeFill="background1" w:themeFillShade="D9"/>
            <w:noWrap/>
          </w:tcPr>
          <w:p w14:paraId="1651E7ED"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27</w:t>
            </w:r>
          </w:p>
        </w:tc>
        <w:tc>
          <w:tcPr>
            <w:tcW w:w="667" w:type="dxa"/>
            <w:noWrap/>
          </w:tcPr>
          <w:p w14:paraId="5F3B1FB9"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21</w:t>
            </w:r>
          </w:p>
        </w:tc>
        <w:tc>
          <w:tcPr>
            <w:tcW w:w="667" w:type="dxa"/>
            <w:shd w:val="clear" w:color="auto" w:fill="D9D9D9" w:themeFill="background1" w:themeFillShade="D9"/>
            <w:noWrap/>
          </w:tcPr>
          <w:p w14:paraId="7A3CF7FC"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22</w:t>
            </w:r>
          </w:p>
        </w:tc>
        <w:tc>
          <w:tcPr>
            <w:tcW w:w="667" w:type="dxa"/>
            <w:noWrap/>
          </w:tcPr>
          <w:p w14:paraId="10028173"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20</w:t>
            </w:r>
          </w:p>
        </w:tc>
        <w:tc>
          <w:tcPr>
            <w:tcW w:w="667" w:type="dxa"/>
            <w:shd w:val="clear" w:color="auto" w:fill="D9D9D9" w:themeFill="background1" w:themeFillShade="D9"/>
            <w:noWrap/>
          </w:tcPr>
          <w:p w14:paraId="4B2CD8D7"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24</w:t>
            </w:r>
          </w:p>
        </w:tc>
        <w:tc>
          <w:tcPr>
            <w:tcW w:w="667" w:type="dxa"/>
            <w:noWrap/>
          </w:tcPr>
          <w:p w14:paraId="12879590"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15</w:t>
            </w:r>
          </w:p>
        </w:tc>
        <w:tc>
          <w:tcPr>
            <w:tcW w:w="667" w:type="dxa"/>
            <w:shd w:val="clear" w:color="auto" w:fill="D9D9D9" w:themeFill="background1" w:themeFillShade="D9"/>
            <w:noWrap/>
          </w:tcPr>
          <w:p w14:paraId="7681668A"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3</w:t>
            </w:r>
          </w:p>
        </w:tc>
        <w:tc>
          <w:tcPr>
            <w:tcW w:w="667" w:type="dxa"/>
            <w:noWrap/>
          </w:tcPr>
          <w:p w14:paraId="5D47A2EF"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3</w:t>
            </w:r>
          </w:p>
        </w:tc>
        <w:tc>
          <w:tcPr>
            <w:tcW w:w="667" w:type="dxa"/>
            <w:shd w:val="clear" w:color="auto" w:fill="D9D9D9" w:themeFill="background1" w:themeFillShade="D9"/>
            <w:noWrap/>
          </w:tcPr>
          <w:p w14:paraId="20428CC2" w14:textId="77777777" w:rsidR="003D48AE" w:rsidRDefault="009C010A" w:rsidP="00E92831">
            <w:pPr>
              <w:spacing w:before="80" w:after="80" w:line="240" w:lineRule="auto"/>
              <w:jc w:val="right"/>
              <w:rPr>
                <w:rFonts w:ascii="Arial" w:eastAsia="Times New Roman" w:hAnsi="Arial" w:cs="Arial"/>
                <w:kern w:val="0"/>
                <w:sz w:val="18"/>
                <w:szCs w:val="18"/>
                <w:lang w:eastAsia="de-DE"/>
                <w14:ligatures w14:val="none"/>
              </w:rPr>
            </w:pPr>
            <w:r>
              <w:rPr>
                <w:rFonts w:ascii="Arial" w:eastAsia="Times New Roman" w:hAnsi="Arial" w:cs="Arial"/>
                <w:kern w:val="0"/>
                <w:sz w:val="18"/>
                <w:szCs w:val="18"/>
                <w:lang w:eastAsia="de-DE"/>
                <w14:ligatures w14:val="none"/>
              </w:rPr>
              <w:t>3</w:t>
            </w:r>
          </w:p>
        </w:tc>
      </w:tr>
    </w:tbl>
    <w:p w14:paraId="188AE48B" w14:textId="42D7B50A" w:rsidR="003D48AE" w:rsidRPr="008F2080" w:rsidRDefault="008F2080" w:rsidP="008F2080">
      <w:pPr>
        <w:pStyle w:val="Caption"/>
        <w:spacing w:before="240" w:after="0"/>
        <w:jc w:val="center"/>
        <w:rPr>
          <w:rFonts w:asciiTheme="majorHAnsi" w:hAnsiTheme="majorHAnsi" w:cstheme="majorHAnsi"/>
          <w:i w:val="0"/>
          <w:iCs w:val="0"/>
          <w:color w:val="2E74B5" w:themeColor="accent5" w:themeShade="BF"/>
          <w:lang w:val="el-GR"/>
        </w:rPr>
      </w:pPr>
      <w:r w:rsidRPr="008F2080">
        <w:rPr>
          <w:rFonts w:asciiTheme="majorHAnsi" w:hAnsiTheme="majorHAnsi" w:cstheme="majorHAnsi"/>
          <w:b/>
          <w:bCs/>
          <w:i w:val="0"/>
          <w:iCs w:val="0"/>
          <w:color w:val="2E74B5" w:themeColor="accent5" w:themeShade="BF"/>
          <w:lang w:val="el-GR"/>
        </w:rPr>
        <w:t>Πηγή</w:t>
      </w:r>
      <w:r w:rsidR="009C010A" w:rsidRPr="008F2080">
        <w:rPr>
          <w:rFonts w:asciiTheme="majorHAnsi" w:hAnsiTheme="majorHAnsi" w:cstheme="majorHAnsi"/>
          <w:i w:val="0"/>
          <w:iCs w:val="0"/>
          <w:color w:val="2E74B5" w:themeColor="accent5" w:themeShade="BF"/>
          <w:lang w:val="el-GR"/>
        </w:rPr>
        <w:t>: Ελληνική Στατιστική Αρχή, Ευρωπαϊκό Σύστημα Ολοκληρωμένων Στατιστικών Κοινωνικής Προστασίας (ESSPROS)</w:t>
      </w:r>
      <w:r w:rsidRPr="008F2080">
        <w:rPr>
          <w:rFonts w:asciiTheme="majorHAnsi" w:hAnsiTheme="majorHAnsi" w:cstheme="majorHAnsi"/>
          <w:i w:val="0"/>
          <w:iCs w:val="0"/>
          <w:color w:val="2E74B5" w:themeColor="accent5" w:themeShade="BF"/>
          <w:lang w:val="el-GR"/>
        </w:rPr>
        <w:br/>
      </w:r>
      <w:r w:rsidRPr="008F2080">
        <w:rPr>
          <w:rFonts w:asciiTheme="majorHAnsi" w:hAnsiTheme="majorHAnsi" w:cstheme="majorHAnsi"/>
          <w:b/>
          <w:bCs/>
          <w:i w:val="0"/>
          <w:iCs w:val="0"/>
          <w:color w:val="2E74B5" w:themeColor="accent5" w:themeShade="BF"/>
          <w:lang w:val="el-GR"/>
        </w:rPr>
        <w:t>Επεξεργασία</w:t>
      </w:r>
      <w:r w:rsidR="009C010A" w:rsidRPr="008F2080">
        <w:rPr>
          <w:rFonts w:asciiTheme="majorHAnsi" w:hAnsiTheme="majorHAnsi" w:cstheme="majorHAnsi"/>
          <w:i w:val="0"/>
          <w:iCs w:val="0"/>
          <w:color w:val="2E74B5" w:themeColor="accent5" w:themeShade="BF"/>
          <w:lang w:val="el-GR"/>
        </w:rPr>
        <w:t>: Παρατηρητήριο Θεμάτων Αναπηρίας-Ε.Σ.Α.μεΑ.</w:t>
      </w:r>
    </w:p>
    <w:bookmarkEnd w:id="29"/>
    <w:p w14:paraId="7B7BA89E" w14:textId="77777777" w:rsidR="00E92831" w:rsidRDefault="00E92831">
      <w:pPr>
        <w:spacing w:after="0" w:line="240" w:lineRule="auto"/>
        <w:rPr>
          <w:sz w:val="24"/>
          <w:szCs w:val="24"/>
          <w:lang w:val="el-GR"/>
        </w:rPr>
      </w:pPr>
      <w:r>
        <w:rPr>
          <w:sz w:val="24"/>
          <w:szCs w:val="24"/>
          <w:lang w:val="el-GR"/>
        </w:rPr>
        <w:br w:type="page"/>
      </w:r>
    </w:p>
    <w:p w14:paraId="236E78D2" w14:textId="09C8E812" w:rsidR="003D48AE" w:rsidRDefault="009C010A">
      <w:pPr>
        <w:jc w:val="both"/>
        <w:rPr>
          <w:sz w:val="24"/>
          <w:szCs w:val="24"/>
          <w:lang w:val="el-GR"/>
        </w:rPr>
      </w:pPr>
      <w:r>
        <w:rPr>
          <w:sz w:val="24"/>
          <w:szCs w:val="24"/>
          <w:lang w:val="el-GR"/>
        </w:rPr>
        <w:lastRenderedPageBreak/>
        <w:t xml:space="preserve">Η εξέλιξη των αναλυτικών παροχών φανερώνει ότι η μεγάλη αυτή συρρίκνωση, αποτελεί κυρίως απόρροια των μειώσεων στη συνταξιοδοτική δαπάνη. Τέλος, όπως γίνεται φανερό στο </w:t>
      </w:r>
      <w:r w:rsidR="004C7F1F" w:rsidRPr="004C7F1F">
        <w:rPr>
          <w:sz w:val="24"/>
          <w:szCs w:val="24"/>
          <w:lang w:val="el-GR"/>
        </w:rPr>
        <w:fldChar w:fldCharType="begin"/>
      </w:r>
      <w:r w:rsidR="004C7F1F" w:rsidRPr="004C7F1F">
        <w:rPr>
          <w:sz w:val="24"/>
          <w:szCs w:val="24"/>
          <w:lang w:val="el-GR"/>
        </w:rPr>
        <w:instrText xml:space="preserve"> REF _Ref202284518 \h  \* MERGEFORMAT </w:instrText>
      </w:r>
      <w:r w:rsidR="004C7F1F" w:rsidRPr="004C7F1F">
        <w:rPr>
          <w:sz w:val="24"/>
          <w:szCs w:val="24"/>
          <w:lang w:val="el-GR"/>
        </w:rPr>
      </w:r>
      <w:r w:rsidR="004C7F1F" w:rsidRPr="004C7F1F">
        <w:rPr>
          <w:sz w:val="24"/>
          <w:szCs w:val="24"/>
          <w:lang w:val="el-GR"/>
        </w:rPr>
        <w:fldChar w:fldCharType="separate"/>
      </w:r>
      <w:r w:rsidR="004C7F1F" w:rsidRPr="004C7F1F">
        <w:rPr>
          <w:rFonts w:asciiTheme="majorHAnsi" w:hAnsiTheme="majorHAnsi" w:cstheme="majorHAnsi"/>
          <w:color w:val="2E74B5" w:themeColor="accent5" w:themeShade="BF"/>
          <w:sz w:val="24"/>
          <w:szCs w:val="24"/>
          <w:lang w:val="el-GR"/>
        </w:rPr>
        <w:t>Γράφημα 8</w:t>
      </w:r>
      <w:r w:rsidR="004C7F1F" w:rsidRPr="004C7F1F">
        <w:rPr>
          <w:sz w:val="24"/>
          <w:szCs w:val="24"/>
          <w:lang w:val="el-GR"/>
        </w:rPr>
        <w:fldChar w:fldCharType="end"/>
      </w:r>
      <w:r>
        <w:rPr>
          <w:sz w:val="24"/>
          <w:szCs w:val="24"/>
          <w:lang w:val="el-GR"/>
        </w:rPr>
        <w:t>, και το πλήθος των δικαιούχων αναπηρικής σύνταξης καταγράφει συνεχόμενη μείωση από το 2015 και έκτοτε. Συνολικά κατά το διάστημα 2015-2022 καταγράφονται 26.870 λιγότεροι δικαιούχοι, δηλαδή σημειώνεται μείωση της τάξεως του 20%.</w:t>
      </w:r>
    </w:p>
    <w:p w14:paraId="601DDF56" w14:textId="77777777" w:rsidR="003D48AE" w:rsidRPr="004C7F1F" w:rsidRDefault="009C010A" w:rsidP="004C7F1F">
      <w:pPr>
        <w:pStyle w:val="Caption"/>
        <w:spacing w:before="360" w:after="120"/>
        <w:ind w:right="-2"/>
        <w:jc w:val="center"/>
        <w:rPr>
          <w:i w:val="0"/>
          <w:iCs w:val="0"/>
          <w:lang w:val="el-GR"/>
        </w:rPr>
      </w:pPr>
      <w:bookmarkStart w:id="30" w:name="_Ref202284518"/>
      <w:bookmarkStart w:id="31" w:name="_Toc201687256"/>
      <w:r w:rsidRPr="005B6EFF">
        <w:rPr>
          <w:rFonts w:asciiTheme="majorHAnsi" w:hAnsiTheme="majorHAnsi" w:cstheme="majorHAnsi"/>
          <w:b/>
          <w:bCs/>
          <w:i w:val="0"/>
          <w:iCs w:val="0"/>
          <w:color w:val="2E74B5" w:themeColor="accent5" w:themeShade="BF"/>
          <w:sz w:val="24"/>
          <w:szCs w:val="24"/>
          <w:lang w:val="el-GR"/>
        </w:rPr>
        <w:t xml:space="preserve">Γράφημα </w:t>
      </w:r>
      <w:r w:rsidRPr="005B6EFF">
        <w:rPr>
          <w:rFonts w:asciiTheme="majorHAnsi" w:hAnsiTheme="majorHAnsi" w:cstheme="majorHAnsi"/>
          <w:b/>
          <w:bCs/>
          <w:i w:val="0"/>
          <w:iCs w:val="0"/>
          <w:color w:val="2E74B5" w:themeColor="accent5" w:themeShade="BF"/>
          <w:sz w:val="24"/>
          <w:szCs w:val="24"/>
          <w:lang w:val="el-GR"/>
        </w:rPr>
        <w:fldChar w:fldCharType="begin"/>
      </w:r>
      <w:r w:rsidRPr="005B6EFF">
        <w:rPr>
          <w:rFonts w:asciiTheme="majorHAnsi" w:hAnsiTheme="majorHAnsi" w:cstheme="majorHAnsi"/>
          <w:b/>
          <w:bCs/>
          <w:i w:val="0"/>
          <w:iCs w:val="0"/>
          <w:color w:val="2E74B5" w:themeColor="accent5" w:themeShade="BF"/>
          <w:sz w:val="24"/>
          <w:szCs w:val="24"/>
          <w:lang w:val="el-GR"/>
        </w:rPr>
        <w:instrText xml:space="preserve"> SEQ Γράφημα \* ARABIC </w:instrText>
      </w:r>
      <w:r w:rsidRPr="005B6EFF">
        <w:rPr>
          <w:rFonts w:asciiTheme="majorHAnsi" w:hAnsiTheme="majorHAnsi" w:cstheme="majorHAnsi"/>
          <w:b/>
          <w:bCs/>
          <w:i w:val="0"/>
          <w:iCs w:val="0"/>
          <w:color w:val="2E74B5" w:themeColor="accent5" w:themeShade="BF"/>
          <w:sz w:val="24"/>
          <w:szCs w:val="24"/>
          <w:lang w:val="el-GR"/>
        </w:rPr>
        <w:fldChar w:fldCharType="separate"/>
      </w:r>
      <w:r w:rsidRPr="005B6EFF">
        <w:rPr>
          <w:rFonts w:asciiTheme="majorHAnsi" w:hAnsiTheme="majorHAnsi" w:cstheme="majorHAnsi"/>
          <w:b/>
          <w:bCs/>
          <w:i w:val="0"/>
          <w:iCs w:val="0"/>
          <w:color w:val="2E74B5" w:themeColor="accent5" w:themeShade="BF"/>
          <w:sz w:val="24"/>
          <w:szCs w:val="24"/>
          <w:lang w:val="el-GR"/>
        </w:rPr>
        <w:t>8</w:t>
      </w:r>
      <w:r w:rsidRPr="005B6EFF">
        <w:rPr>
          <w:rFonts w:asciiTheme="majorHAnsi" w:hAnsiTheme="majorHAnsi" w:cstheme="majorHAnsi"/>
          <w:b/>
          <w:bCs/>
          <w:i w:val="0"/>
          <w:iCs w:val="0"/>
          <w:color w:val="2E74B5" w:themeColor="accent5" w:themeShade="BF"/>
          <w:sz w:val="24"/>
          <w:szCs w:val="24"/>
          <w:lang w:val="el-GR"/>
        </w:rPr>
        <w:fldChar w:fldCharType="end"/>
      </w:r>
      <w:bookmarkEnd w:id="30"/>
      <w:r w:rsidRPr="005B6EFF">
        <w:rPr>
          <w:rFonts w:asciiTheme="majorHAnsi" w:hAnsiTheme="majorHAnsi" w:cstheme="majorHAnsi"/>
          <w:i w:val="0"/>
          <w:iCs w:val="0"/>
          <w:color w:val="2E74B5" w:themeColor="accent5" w:themeShade="BF"/>
          <w:sz w:val="24"/>
          <w:szCs w:val="24"/>
          <w:lang w:val="el-GR"/>
        </w:rPr>
        <w:t>: Δικαιούχοι σύνταξης αναπηρίας στην Ελλάδα (2013-2022)</w:t>
      </w:r>
      <w:bookmarkEnd w:id="31"/>
    </w:p>
    <w:p w14:paraId="750DD848" w14:textId="576440D7" w:rsidR="003D48AE" w:rsidRDefault="005B6EFF">
      <w:pPr>
        <w:rPr>
          <w:b/>
          <w:iCs/>
        </w:rPr>
      </w:pPr>
      <w:r>
        <w:rPr>
          <w:noProof/>
          <w:lang w:val="el-GR" w:eastAsia="el-GR"/>
        </w:rPr>
        <w:drawing>
          <wp:inline distT="0" distB="0" distL="0" distR="0" wp14:anchorId="3C186547" wp14:editId="3D5ABB73">
            <wp:extent cx="5579745" cy="3580130"/>
            <wp:effectExtent l="0" t="0" r="1905" b="1270"/>
            <wp:docPr id="1179217915" name="Chart 1" descr="114.376 το 2013, 127.279 το 2014, 132.562 το 2015, 126.797 το 2016, 122.178 το 2017, 121.612 το 2018, 117.576 το 2019, 113.064 το 2020, 108.173 το 2021, 105.692 το 2022.">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2F2D88" w14:textId="61384890" w:rsidR="003D48AE" w:rsidRPr="0001190B" w:rsidRDefault="004C7F1F" w:rsidP="004C7F1F">
      <w:pPr>
        <w:pStyle w:val="Caption"/>
        <w:spacing w:before="240" w:after="0"/>
        <w:jc w:val="center"/>
        <w:rPr>
          <w:rFonts w:asciiTheme="majorHAnsi" w:hAnsiTheme="majorHAnsi" w:cstheme="majorHAnsi"/>
          <w:i w:val="0"/>
          <w:iCs w:val="0"/>
          <w:color w:val="2E74B5" w:themeColor="accent5" w:themeShade="BF"/>
        </w:rPr>
      </w:pPr>
      <w:r w:rsidRPr="004C7F1F">
        <w:rPr>
          <w:rFonts w:asciiTheme="majorHAnsi" w:hAnsiTheme="majorHAnsi" w:cstheme="majorHAnsi"/>
          <w:b/>
          <w:bCs/>
          <w:i w:val="0"/>
          <w:iCs w:val="0"/>
          <w:color w:val="2E74B5" w:themeColor="accent5" w:themeShade="BF"/>
          <w:lang w:val="el-GR"/>
        </w:rPr>
        <w:t>Πηγή</w:t>
      </w:r>
      <w:r w:rsidR="009C010A" w:rsidRPr="004C7F1F">
        <w:rPr>
          <w:rFonts w:asciiTheme="majorHAnsi" w:hAnsiTheme="majorHAnsi" w:cstheme="majorHAnsi"/>
          <w:i w:val="0"/>
          <w:iCs w:val="0"/>
          <w:color w:val="2E74B5" w:themeColor="accent5" w:themeShade="BF"/>
        </w:rPr>
        <w:t>: Eurostat, European System of Integrated Social Protection Statistics/ESSPROS)</w:t>
      </w:r>
      <w:r w:rsidR="009C010A" w:rsidRPr="004C7F1F">
        <w:rPr>
          <w:rFonts w:asciiTheme="majorHAnsi" w:hAnsiTheme="majorHAnsi" w:cstheme="majorHAnsi"/>
          <w:i w:val="0"/>
          <w:iCs w:val="0"/>
          <w:color w:val="2E74B5" w:themeColor="accent5" w:themeShade="BF"/>
        </w:rPr>
        <w:br/>
      </w:r>
      <w:r w:rsidRPr="004C7F1F">
        <w:rPr>
          <w:rFonts w:asciiTheme="majorHAnsi" w:hAnsiTheme="majorHAnsi" w:cstheme="majorHAnsi"/>
          <w:b/>
          <w:bCs/>
          <w:i w:val="0"/>
          <w:iCs w:val="0"/>
          <w:color w:val="2E74B5" w:themeColor="accent5" w:themeShade="BF"/>
          <w:lang w:val="el-GR"/>
        </w:rPr>
        <w:t>Επεξεργασία</w:t>
      </w:r>
      <w:r w:rsidR="009C010A" w:rsidRPr="004C7F1F">
        <w:rPr>
          <w:rFonts w:asciiTheme="majorHAnsi" w:hAnsiTheme="majorHAnsi" w:cstheme="majorHAnsi"/>
          <w:i w:val="0"/>
          <w:iCs w:val="0"/>
          <w:color w:val="2E74B5" w:themeColor="accent5" w:themeShade="BF"/>
        </w:rPr>
        <w:t xml:space="preserve">: </w:t>
      </w:r>
      <w:r w:rsidR="009C010A" w:rsidRPr="004C7F1F">
        <w:rPr>
          <w:rFonts w:asciiTheme="majorHAnsi" w:hAnsiTheme="majorHAnsi" w:cstheme="majorHAnsi"/>
          <w:i w:val="0"/>
          <w:iCs w:val="0"/>
          <w:color w:val="2E74B5" w:themeColor="accent5" w:themeShade="BF"/>
          <w:lang w:val="el-GR"/>
        </w:rPr>
        <w:t>Παρατηρητήριο</w:t>
      </w:r>
      <w:r w:rsidR="009C010A" w:rsidRPr="004C7F1F">
        <w:rPr>
          <w:rFonts w:asciiTheme="majorHAnsi" w:hAnsiTheme="majorHAnsi" w:cstheme="majorHAnsi"/>
          <w:i w:val="0"/>
          <w:iCs w:val="0"/>
          <w:color w:val="2E74B5" w:themeColor="accent5" w:themeShade="BF"/>
        </w:rPr>
        <w:t xml:space="preserve"> </w:t>
      </w:r>
      <w:r w:rsidR="009C010A" w:rsidRPr="004C7F1F">
        <w:rPr>
          <w:rFonts w:asciiTheme="majorHAnsi" w:hAnsiTheme="majorHAnsi" w:cstheme="majorHAnsi"/>
          <w:i w:val="0"/>
          <w:iCs w:val="0"/>
          <w:color w:val="2E74B5" w:themeColor="accent5" w:themeShade="BF"/>
          <w:lang w:val="el-GR"/>
        </w:rPr>
        <w:t>Θεμάτων</w:t>
      </w:r>
      <w:r w:rsidR="009C010A" w:rsidRPr="004C7F1F">
        <w:rPr>
          <w:rFonts w:asciiTheme="majorHAnsi" w:hAnsiTheme="majorHAnsi" w:cstheme="majorHAnsi"/>
          <w:i w:val="0"/>
          <w:iCs w:val="0"/>
          <w:color w:val="2E74B5" w:themeColor="accent5" w:themeShade="BF"/>
        </w:rPr>
        <w:t xml:space="preserve"> </w:t>
      </w:r>
      <w:r w:rsidR="009C010A" w:rsidRPr="004C7F1F">
        <w:rPr>
          <w:rFonts w:asciiTheme="majorHAnsi" w:hAnsiTheme="majorHAnsi" w:cstheme="majorHAnsi"/>
          <w:i w:val="0"/>
          <w:iCs w:val="0"/>
          <w:color w:val="2E74B5" w:themeColor="accent5" w:themeShade="BF"/>
          <w:lang w:val="el-GR"/>
        </w:rPr>
        <w:t>Αναπηρίας</w:t>
      </w:r>
      <w:r w:rsidR="009C010A" w:rsidRPr="004C7F1F">
        <w:rPr>
          <w:rFonts w:asciiTheme="majorHAnsi" w:hAnsiTheme="majorHAnsi" w:cstheme="majorHAnsi"/>
          <w:i w:val="0"/>
          <w:iCs w:val="0"/>
          <w:color w:val="2E74B5" w:themeColor="accent5" w:themeShade="BF"/>
        </w:rPr>
        <w:t>-</w:t>
      </w:r>
      <w:r w:rsidRPr="0001190B">
        <w:rPr>
          <w:rFonts w:asciiTheme="majorHAnsi" w:hAnsiTheme="majorHAnsi" w:cstheme="majorHAnsi"/>
          <w:i w:val="0"/>
          <w:iCs w:val="0"/>
          <w:color w:val="2E74B5" w:themeColor="accent5" w:themeShade="BF"/>
        </w:rPr>
        <w:t xml:space="preserve"> </w:t>
      </w:r>
      <w:r w:rsidRPr="004C7F1F">
        <w:rPr>
          <w:rFonts w:asciiTheme="majorHAnsi" w:hAnsiTheme="majorHAnsi" w:cstheme="majorHAnsi"/>
          <w:i w:val="0"/>
          <w:iCs w:val="0"/>
          <w:color w:val="2E74B5" w:themeColor="accent5" w:themeShade="BF"/>
          <w:lang w:val="el-GR"/>
        </w:rPr>
        <w:t>Ε</w:t>
      </w:r>
      <w:r w:rsidRPr="0001190B">
        <w:rPr>
          <w:rFonts w:asciiTheme="majorHAnsi" w:hAnsiTheme="majorHAnsi" w:cstheme="majorHAnsi"/>
          <w:i w:val="0"/>
          <w:iCs w:val="0"/>
          <w:color w:val="2E74B5" w:themeColor="accent5" w:themeShade="BF"/>
        </w:rPr>
        <w:t>.</w:t>
      </w:r>
      <w:r w:rsidRPr="004C7F1F">
        <w:rPr>
          <w:rFonts w:asciiTheme="majorHAnsi" w:hAnsiTheme="majorHAnsi" w:cstheme="majorHAnsi"/>
          <w:i w:val="0"/>
          <w:iCs w:val="0"/>
          <w:color w:val="2E74B5" w:themeColor="accent5" w:themeShade="BF"/>
          <w:lang w:val="el-GR"/>
        </w:rPr>
        <w:t>Σ</w:t>
      </w:r>
      <w:r w:rsidRPr="0001190B">
        <w:rPr>
          <w:rFonts w:asciiTheme="majorHAnsi" w:hAnsiTheme="majorHAnsi" w:cstheme="majorHAnsi"/>
          <w:i w:val="0"/>
          <w:iCs w:val="0"/>
          <w:color w:val="2E74B5" w:themeColor="accent5" w:themeShade="BF"/>
        </w:rPr>
        <w:t>.</w:t>
      </w:r>
      <w:r w:rsidRPr="004C7F1F">
        <w:rPr>
          <w:rFonts w:asciiTheme="majorHAnsi" w:hAnsiTheme="majorHAnsi" w:cstheme="majorHAnsi"/>
          <w:i w:val="0"/>
          <w:iCs w:val="0"/>
          <w:color w:val="2E74B5" w:themeColor="accent5" w:themeShade="BF"/>
          <w:lang w:val="el-GR"/>
        </w:rPr>
        <w:t>Α</w:t>
      </w:r>
      <w:r w:rsidRPr="0001190B">
        <w:rPr>
          <w:rFonts w:asciiTheme="majorHAnsi" w:hAnsiTheme="majorHAnsi" w:cstheme="majorHAnsi"/>
          <w:i w:val="0"/>
          <w:iCs w:val="0"/>
          <w:color w:val="2E74B5" w:themeColor="accent5" w:themeShade="BF"/>
        </w:rPr>
        <w:t>.</w:t>
      </w:r>
      <w:proofErr w:type="spellStart"/>
      <w:r w:rsidRPr="004C7F1F">
        <w:rPr>
          <w:rFonts w:asciiTheme="majorHAnsi" w:hAnsiTheme="majorHAnsi" w:cstheme="majorHAnsi"/>
          <w:i w:val="0"/>
          <w:iCs w:val="0"/>
          <w:color w:val="2E74B5" w:themeColor="accent5" w:themeShade="BF"/>
          <w:lang w:val="el-GR"/>
        </w:rPr>
        <w:t>μεΑ</w:t>
      </w:r>
      <w:proofErr w:type="spellEnd"/>
      <w:r w:rsidRPr="0001190B">
        <w:rPr>
          <w:rFonts w:asciiTheme="majorHAnsi" w:hAnsiTheme="majorHAnsi" w:cstheme="majorHAnsi"/>
          <w:i w:val="0"/>
          <w:iCs w:val="0"/>
          <w:color w:val="2E74B5" w:themeColor="accent5" w:themeShade="BF"/>
        </w:rPr>
        <w:t>.</w:t>
      </w:r>
    </w:p>
    <w:p w14:paraId="10351299" w14:textId="5F172F54" w:rsidR="004C7F1F" w:rsidRPr="0001190B" w:rsidRDefault="004C7F1F">
      <w:pPr>
        <w:spacing w:after="0" w:line="240" w:lineRule="auto"/>
      </w:pPr>
      <w:r w:rsidRPr="0001190B">
        <w:br w:type="page"/>
      </w:r>
    </w:p>
    <w:p w14:paraId="3FF2791F" w14:textId="77777777" w:rsidR="003D48AE" w:rsidRDefault="009C010A" w:rsidP="004C7F1F">
      <w:pPr>
        <w:pStyle w:val="Heading2"/>
        <w:tabs>
          <w:tab w:val="left" w:pos="360"/>
        </w:tabs>
        <w:spacing w:before="360" w:after="240"/>
        <w:ind w:left="426" w:right="-142" w:hanging="426"/>
      </w:pPr>
      <w:bookmarkStart w:id="32" w:name="_Toc17723"/>
      <w:r>
        <w:lastRenderedPageBreak/>
        <w:t>Αποτελεσματικότητα των κοινωνικών παροχών για την αναπηρία στη μείωση της φτώχειας των ατόμων με αναπηρία</w:t>
      </w:r>
      <w:bookmarkEnd w:id="32"/>
    </w:p>
    <w:p w14:paraId="541D7560" w14:textId="0FD8EB6E" w:rsidR="003D48AE" w:rsidRPr="0001190B" w:rsidRDefault="009C010A">
      <w:pPr>
        <w:jc w:val="both"/>
        <w:rPr>
          <w:sz w:val="24"/>
          <w:szCs w:val="24"/>
          <w:lang w:val="el-GR"/>
        </w:rPr>
      </w:pPr>
      <w:r>
        <w:rPr>
          <w:sz w:val="24"/>
          <w:szCs w:val="24"/>
          <w:lang w:val="el-GR"/>
        </w:rPr>
        <w:t xml:space="preserve">Στο πλαίσιο του Δελτίου αναλύσαμε τον </w:t>
      </w:r>
      <w:bookmarkStart w:id="33" w:name="_Hlk201569603"/>
      <w:r>
        <w:rPr>
          <w:sz w:val="24"/>
          <w:szCs w:val="24"/>
          <w:lang w:val="el-GR"/>
        </w:rPr>
        <w:t>δείκτη «Αποτελεσματικότητα των κοινωνικών παροχών στη μείωση της φτώχειας»</w:t>
      </w:r>
      <w:r w:rsidR="001E1CA2">
        <w:rPr>
          <w:sz w:val="24"/>
          <w:szCs w:val="24"/>
          <w:lang w:val="el-GR"/>
        </w:rPr>
        <w:t xml:space="preserve"> </w:t>
      </w:r>
      <w:r>
        <w:rPr>
          <w:sz w:val="24"/>
          <w:szCs w:val="24"/>
          <w:lang w:val="el-GR"/>
        </w:rPr>
        <w:t xml:space="preserve">εστιάζοντας στην πληθυσμιακή ομάδα των ατόμων με αναπηρία και στο ηλικιακό εύρος 16-64 ετών καθώς: τα αντίστοιχα διαθέσιμα δεδομένα της </w:t>
      </w:r>
      <w:r>
        <w:rPr>
          <w:sz w:val="24"/>
          <w:szCs w:val="24"/>
        </w:rPr>
        <w:t>Eurostat</w:t>
      </w:r>
      <w:r>
        <w:rPr>
          <w:sz w:val="24"/>
          <w:szCs w:val="24"/>
          <w:lang w:val="el-GR"/>
        </w:rPr>
        <w:t xml:space="preserve"> για τα άτομα με αναπηρία δεν εξαιρούν τις συντάξεις από τις κοινωνικές μεταβιβάσεις ώστε να υπολογίσουμε τον δείκτη με την ίδια μεθοδολογία, ενώ επίσης, τα διαχρονικά δεδομένα υποδεικνύουν ότι το πρόβλημα της φτώχειας και του κοινωνικού αποκλεισμού είναι σημαντικά υψηλότερο στα άτομα με αναπηρία που βρίσκονται στις παραγωγικές ηλικίες.</w:t>
      </w:r>
    </w:p>
    <w:p w14:paraId="092CB8EC" w14:textId="25F47669" w:rsidR="003D48AE" w:rsidRPr="0001190B" w:rsidRDefault="009C010A">
      <w:pPr>
        <w:jc w:val="both"/>
        <w:rPr>
          <w:sz w:val="24"/>
          <w:szCs w:val="24"/>
          <w:lang w:val="el-GR"/>
        </w:rPr>
      </w:pPr>
      <w:r>
        <w:rPr>
          <w:sz w:val="24"/>
          <w:szCs w:val="24"/>
          <w:lang w:val="el-GR"/>
        </w:rPr>
        <w:t xml:space="preserve">Στο </w:t>
      </w:r>
      <w:r w:rsidR="004C7F1F" w:rsidRPr="004C7F1F">
        <w:rPr>
          <w:sz w:val="24"/>
          <w:szCs w:val="24"/>
          <w:lang w:val="el-GR"/>
        </w:rPr>
        <w:fldChar w:fldCharType="begin"/>
      </w:r>
      <w:r w:rsidR="004C7F1F" w:rsidRPr="004C7F1F">
        <w:rPr>
          <w:sz w:val="24"/>
          <w:szCs w:val="24"/>
          <w:lang w:val="el-GR"/>
        </w:rPr>
        <w:instrText xml:space="preserve"> REF _Ref202284639 \h  \* MERGEFORMAT </w:instrText>
      </w:r>
      <w:r w:rsidR="004C7F1F" w:rsidRPr="004C7F1F">
        <w:rPr>
          <w:sz w:val="24"/>
          <w:szCs w:val="24"/>
          <w:lang w:val="el-GR"/>
        </w:rPr>
      </w:r>
      <w:r w:rsidR="004C7F1F" w:rsidRPr="004C7F1F">
        <w:rPr>
          <w:sz w:val="24"/>
          <w:szCs w:val="24"/>
          <w:lang w:val="el-GR"/>
        </w:rPr>
        <w:fldChar w:fldCharType="separate"/>
      </w:r>
      <w:r w:rsidR="004C7F1F" w:rsidRPr="004C7F1F">
        <w:rPr>
          <w:rFonts w:asciiTheme="majorHAnsi" w:hAnsiTheme="majorHAnsi" w:cstheme="majorHAnsi"/>
          <w:color w:val="2E74B5" w:themeColor="accent5" w:themeShade="BF"/>
          <w:sz w:val="24"/>
          <w:szCs w:val="24"/>
          <w:lang w:val="el-GR"/>
        </w:rPr>
        <w:t>Γράφημα 9</w:t>
      </w:r>
      <w:r w:rsidR="004C7F1F" w:rsidRPr="004C7F1F">
        <w:rPr>
          <w:sz w:val="24"/>
          <w:szCs w:val="24"/>
          <w:lang w:val="el-GR"/>
        </w:rPr>
        <w:fldChar w:fldCharType="end"/>
      </w:r>
      <w:r w:rsidR="004C7F1F">
        <w:rPr>
          <w:sz w:val="24"/>
          <w:szCs w:val="24"/>
          <w:lang w:val="el-GR"/>
        </w:rPr>
        <w:t xml:space="preserve"> </w:t>
      </w:r>
      <w:r>
        <w:rPr>
          <w:sz w:val="24"/>
          <w:szCs w:val="24"/>
          <w:lang w:val="el-GR"/>
        </w:rPr>
        <w:t>παρουσιάζεται η επίδραση των κοινωνικών μεταβιβάσεων (συμπεριλαμβανομένων των συντάξεων) στη μείωση της φτώχειας των ατόμων με μέτρια και σοβαρή αναπηρία 16-64 ετών για το 2024. Η Ελλάδα και πάλι βρίσκεται στη τελευταία θέση καταγράφοντας τη χειρότερη επίδοση στον συγκεκριμένο δείκτη με το ποσοστό φτώχειας και κοινωνικού αποκλεισμού να μειώνεται με την επίδραση των κοινωνικών μεταβιβάσεων μόλις κατά 5,3 μονάδες.</w:t>
      </w:r>
      <w:r w:rsidR="001E1CA2">
        <w:rPr>
          <w:sz w:val="24"/>
          <w:szCs w:val="24"/>
          <w:lang w:val="el-GR"/>
        </w:rPr>
        <w:t xml:space="preserve"> </w:t>
      </w:r>
      <w:r>
        <w:rPr>
          <w:sz w:val="24"/>
          <w:szCs w:val="24"/>
          <w:lang w:val="el-GR"/>
        </w:rPr>
        <w:t>Να σημειωθεί ότι στην Ελλάδα καταγράφεται ταυτόχρονα ένα από τα 2 υψηλότερα ποσοστά φτώχειας ή/και κοινωνικού αποκλεισμού στα άτομα με αναπηρία 16-64 ετών (48,3 στην Ελλάδα, 48,4 στη Ρουμανία).</w:t>
      </w:r>
      <w:bookmarkEnd w:id="33"/>
    </w:p>
    <w:p w14:paraId="7C637DAA" w14:textId="3BCD1DF6" w:rsidR="00E92831" w:rsidRPr="0001190B" w:rsidRDefault="00E92831">
      <w:pPr>
        <w:spacing w:after="0" w:line="240" w:lineRule="auto"/>
        <w:rPr>
          <w:sz w:val="24"/>
          <w:szCs w:val="24"/>
          <w:lang w:val="el-GR"/>
        </w:rPr>
      </w:pPr>
      <w:r w:rsidRPr="0001190B">
        <w:rPr>
          <w:sz w:val="24"/>
          <w:szCs w:val="24"/>
          <w:lang w:val="el-GR"/>
        </w:rPr>
        <w:br w:type="page"/>
      </w:r>
    </w:p>
    <w:p w14:paraId="13BEEF6F" w14:textId="33D95E8E" w:rsidR="003D48AE" w:rsidRDefault="009C010A" w:rsidP="004C7F1F">
      <w:pPr>
        <w:jc w:val="center"/>
        <w:rPr>
          <w:rFonts w:asciiTheme="majorHAnsi" w:hAnsiTheme="majorHAnsi" w:cstheme="majorHAnsi"/>
          <w:color w:val="2E74B5" w:themeColor="accent5" w:themeShade="BF"/>
          <w:sz w:val="24"/>
          <w:szCs w:val="24"/>
          <w:lang w:val="el-GR"/>
        </w:rPr>
      </w:pPr>
      <w:bookmarkStart w:id="34" w:name="_Ref202284639"/>
      <w:bookmarkStart w:id="35" w:name="_Toc201687257"/>
      <w:r w:rsidRPr="004C7F1F">
        <w:rPr>
          <w:rFonts w:asciiTheme="majorHAnsi" w:hAnsiTheme="majorHAnsi" w:cstheme="majorHAnsi"/>
          <w:b/>
          <w:bCs/>
          <w:color w:val="2E74B5" w:themeColor="accent5" w:themeShade="BF"/>
          <w:sz w:val="24"/>
          <w:szCs w:val="24"/>
          <w:lang w:val="el-GR"/>
        </w:rPr>
        <w:lastRenderedPageBreak/>
        <w:t xml:space="preserve">Γράφημα </w:t>
      </w:r>
      <w:r w:rsidRPr="004C7F1F">
        <w:rPr>
          <w:rFonts w:asciiTheme="majorHAnsi" w:hAnsiTheme="majorHAnsi" w:cstheme="majorHAnsi"/>
          <w:b/>
          <w:bCs/>
          <w:color w:val="2E74B5" w:themeColor="accent5" w:themeShade="BF"/>
          <w:sz w:val="24"/>
          <w:szCs w:val="24"/>
          <w:lang w:val="el-GR"/>
        </w:rPr>
        <w:fldChar w:fldCharType="begin"/>
      </w:r>
      <w:r w:rsidRPr="004C7F1F">
        <w:rPr>
          <w:rFonts w:asciiTheme="majorHAnsi" w:hAnsiTheme="majorHAnsi" w:cstheme="majorHAnsi"/>
          <w:b/>
          <w:bCs/>
          <w:color w:val="2E74B5" w:themeColor="accent5" w:themeShade="BF"/>
          <w:sz w:val="24"/>
          <w:szCs w:val="24"/>
          <w:lang w:val="el-GR"/>
        </w:rPr>
        <w:instrText xml:space="preserve"> SEQ Γράφημα \* ARABIC </w:instrText>
      </w:r>
      <w:r w:rsidRPr="004C7F1F">
        <w:rPr>
          <w:rFonts w:asciiTheme="majorHAnsi" w:hAnsiTheme="majorHAnsi" w:cstheme="majorHAnsi"/>
          <w:b/>
          <w:bCs/>
          <w:color w:val="2E74B5" w:themeColor="accent5" w:themeShade="BF"/>
          <w:sz w:val="24"/>
          <w:szCs w:val="24"/>
          <w:lang w:val="el-GR"/>
        </w:rPr>
        <w:fldChar w:fldCharType="separate"/>
      </w:r>
      <w:r w:rsidRPr="004C7F1F">
        <w:rPr>
          <w:rFonts w:asciiTheme="majorHAnsi" w:hAnsiTheme="majorHAnsi" w:cstheme="majorHAnsi"/>
          <w:b/>
          <w:bCs/>
          <w:color w:val="2E74B5" w:themeColor="accent5" w:themeShade="BF"/>
          <w:sz w:val="24"/>
          <w:szCs w:val="24"/>
          <w:lang w:val="el-GR"/>
        </w:rPr>
        <w:t>9</w:t>
      </w:r>
      <w:r w:rsidRPr="004C7F1F">
        <w:rPr>
          <w:rFonts w:asciiTheme="majorHAnsi" w:hAnsiTheme="majorHAnsi" w:cstheme="majorHAnsi"/>
          <w:b/>
          <w:bCs/>
          <w:color w:val="2E74B5" w:themeColor="accent5" w:themeShade="BF"/>
          <w:sz w:val="24"/>
          <w:szCs w:val="24"/>
          <w:lang w:val="el-GR"/>
        </w:rPr>
        <w:fldChar w:fldCharType="end"/>
      </w:r>
      <w:bookmarkEnd w:id="34"/>
      <w:r>
        <w:rPr>
          <w:rFonts w:asciiTheme="majorHAnsi" w:hAnsiTheme="majorHAnsi" w:cstheme="majorHAnsi"/>
          <w:color w:val="2E74B5" w:themeColor="accent5" w:themeShade="BF"/>
          <w:sz w:val="24"/>
          <w:szCs w:val="24"/>
          <w:lang w:val="el-GR"/>
        </w:rPr>
        <w:t xml:space="preserve">: Επίδραση των κοινωνικών μεταβιβάσεων (συμπεριλαμβανομένων των συντάξεων) στη μείωση της φτώχειας των ατόμων με μέτρια </w:t>
      </w:r>
      <w:r w:rsidR="004C7F1F">
        <w:rPr>
          <w:rFonts w:asciiTheme="majorHAnsi" w:hAnsiTheme="majorHAnsi" w:cstheme="majorHAnsi"/>
          <w:color w:val="2E74B5" w:themeColor="accent5" w:themeShade="BF"/>
          <w:sz w:val="24"/>
          <w:szCs w:val="24"/>
          <w:lang w:val="el-GR"/>
        </w:rPr>
        <w:br/>
      </w:r>
      <w:r>
        <w:rPr>
          <w:rFonts w:asciiTheme="majorHAnsi" w:hAnsiTheme="majorHAnsi" w:cstheme="majorHAnsi"/>
          <w:color w:val="2E74B5" w:themeColor="accent5" w:themeShade="BF"/>
          <w:sz w:val="24"/>
          <w:szCs w:val="24"/>
          <w:lang w:val="el-GR"/>
        </w:rPr>
        <w:t>και σοβαρή αναπηρία 16-64 ετών (2024)</w:t>
      </w:r>
      <w:bookmarkEnd w:id="35"/>
    </w:p>
    <w:p w14:paraId="1EF4238F" w14:textId="77777777" w:rsidR="003D48AE" w:rsidRDefault="009C010A">
      <w:pPr>
        <w:keepNext/>
      </w:pPr>
      <w:r>
        <w:rPr>
          <w:noProof/>
          <w:lang w:val="el-GR" w:eastAsia="el-GR"/>
        </w:rPr>
        <w:drawing>
          <wp:inline distT="0" distB="0" distL="0" distR="0" wp14:anchorId="0D95AADF" wp14:editId="6D25D1E1">
            <wp:extent cx="5377815" cy="6136850"/>
            <wp:effectExtent l="0" t="0" r="13335" b="16510"/>
            <wp:docPr id="1804977682" name="Γράφημα 1" descr="Σλοβακία: 30,1&#10;Σλοβενία: 24,2&#10;Πολωνία: 23,2&#10;Αυστρία: 22,1&#10;Τσεχία: 19,8&#10;Κροατία: 17,6&#10;Βέλγιο: 17,4&#10;Λουξεμβούργο: 16,8&#10;Ιρλανδία: 16,7&#10;Κύπρος: 16,4&#10;Γαλλία: 14,2&#10;Βουλγαρία: 14,1&#10;Ουγγαρία: 13,7&#10;Σουηδία: 12,8&#10;Εσθονία: 12,6&#10;ΕΕ- 27: 12,4&#10;Πορτογαλία: 12,1&#10;Λιθουανία: 11,4&#10;Ιταλία: 11,3&#10;Ρουμανία: 11,1&#10;Φινλανδία: 10,9&#10;Λετονία: 10,3&#10;Ολλανδία: 8,6&#10;Δανία: 8,3&#10;Γερμανία: 7,9&#10;Μάλτα: 6,9&#10;Ισπανία: 6,8&#10;Ελλάδα: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704DB33" w14:textId="11F1D88E" w:rsidR="003D48AE" w:rsidRPr="004C7F1F" w:rsidRDefault="009C010A" w:rsidP="004C7F1F">
      <w:pPr>
        <w:pStyle w:val="Caption"/>
        <w:spacing w:before="240" w:after="0"/>
        <w:jc w:val="center"/>
        <w:rPr>
          <w:rFonts w:asciiTheme="majorHAnsi" w:hAnsiTheme="majorHAnsi" w:cstheme="majorHAnsi"/>
          <w:i w:val="0"/>
          <w:iCs w:val="0"/>
          <w:color w:val="2E74B5" w:themeColor="accent5" w:themeShade="BF"/>
          <w:lang w:val="el-GR"/>
        </w:rPr>
      </w:pPr>
      <w:r w:rsidRPr="004C7F1F">
        <w:rPr>
          <w:rFonts w:asciiTheme="majorHAnsi" w:hAnsiTheme="majorHAnsi" w:cstheme="majorHAnsi"/>
          <w:b/>
          <w:bCs/>
          <w:i w:val="0"/>
          <w:iCs w:val="0"/>
          <w:color w:val="2E74B5" w:themeColor="accent5" w:themeShade="BF"/>
          <w:lang w:val="el-GR"/>
        </w:rPr>
        <w:t>Πηγή</w:t>
      </w:r>
      <w:r w:rsidRPr="004C7F1F">
        <w:rPr>
          <w:rFonts w:asciiTheme="majorHAnsi" w:hAnsiTheme="majorHAnsi" w:cstheme="majorHAnsi"/>
          <w:i w:val="0"/>
          <w:iCs w:val="0"/>
          <w:color w:val="2E74B5" w:themeColor="accent5" w:themeShade="BF"/>
          <w:lang w:val="el-GR"/>
        </w:rPr>
        <w:t xml:space="preserve"> : Eurostat (2024)</w:t>
      </w:r>
      <w:r w:rsidR="004C7F1F" w:rsidRPr="004C7F1F">
        <w:rPr>
          <w:rFonts w:asciiTheme="majorHAnsi" w:hAnsiTheme="majorHAnsi" w:cstheme="majorHAnsi"/>
          <w:i w:val="0"/>
          <w:iCs w:val="0"/>
          <w:color w:val="2E74B5" w:themeColor="accent5" w:themeShade="BF"/>
          <w:lang w:val="el-GR"/>
        </w:rPr>
        <w:t xml:space="preserve"> </w:t>
      </w:r>
      <w:r w:rsidRPr="004C7F1F">
        <w:rPr>
          <w:rFonts w:asciiTheme="majorHAnsi" w:hAnsiTheme="majorHAnsi" w:cstheme="majorHAnsi"/>
          <w:i w:val="0"/>
          <w:iCs w:val="0"/>
          <w:color w:val="2E74B5" w:themeColor="accent5" w:themeShade="BF"/>
          <w:lang w:val="el-GR"/>
        </w:rPr>
        <w:t xml:space="preserve">/ </w:t>
      </w:r>
      <w:r w:rsidR="004C7F1F" w:rsidRPr="004C7F1F">
        <w:rPr>
          <w:rFonts w:asciiTheme="majorHAnsi" w:hAnsiTheme="majorHAnsi" w:cstheme="majorHAnsi"/>
          <w:b/>
          <w:bCs/>
          <w:i w:val="0"/>
          <w:iCs w:val="0"/>
          <w:color w:val="2E74B5" w:themeColor="accent5" w:themeShade="BF"/>
          <w:lang w:val="el-GR"/>
        </w:rPr>
        <w:t>Επεξεργασία</w:t>
      </w:r>
      <w:r w:rsidRPr="004C7F1F">
        <w:rPr>
          <w:rFonts w:asciiTheme="majorHAnsi" w:hAnsiTheme="majorHAnsi" w:cstheme="majorHAnsi"/>
          <w:i w:val="0"/>
          <w:iCs w:val="0"/>
          <w:color w:val="2E74B5" w:themeColor="accent5" w:themeShade="BF"/>
          <w:lang w:val="el-GR"/>
        </w:rPr>
        <w:t>: Παρατηρητήριο Θεμάτων Αναπηρίας-Ε.Σ.Α.μεΑ.</w:t>
      </w:r>
    </w:p>
    <w:p w14:paraId="3059FA7C" w14:textId="77777777" w:rsidR="003D48AE" w:rsidRPr="004C7F1F" w:rsidRDefault="003D48AE">
      <w:pPr>
        <w:pStyle w:val="Caption"/>
        <w:rPr>
          <w:i w:val="0"/>
          <w:iCs w:val="0"/>
          <w:lang w:val="de-DE"/>
        </w:rPr>
      </w:pPr>
    </w:p>
    <w:p w14:paraId="4FBBFB57" w14:textId="2E6F5CC2" w:rsidR="004C7F1F" w:rsidRDefault="004C7F1F">
      <w:pPr>
        <w:spacing w:after="0" w:line="240" w:lineRule="auto"/>
        <w:rPr>
          <w:lang w:val="el-GR"/>
        </w:rPr>
      </w:pPr>
      <w:r>
        <w:rPr>
          <w:lang w:val="el-GR"/>
        </w:rPr>
        <w:br w:type="page"/>
      </w:r>
    </w:p>
    <w:p w14:paraId="40E38FA7" w14:textId="77777777" w:rsidR="003D48AE" w:rsidRPr="004C7F1F" w:rsidRDefault="009C010A" w:rsidP="004C7F1F">
      <w:pPr>
        <w:spacing w:after="360"/>
        <w:jc w:val="center"/>
        <w:rPr>
          <w:b/>
          <w:sz w:val="28"/>
          <w:szCs w:val="28"/>
          <w:lang w:val="el-GR"/>
        </w:rPr>
      </w:pPr>
      <w:r w:rsidRPr="004C7F1F">
        <w:rPr>
          <w:b/>
          <w:sz w:val="28"/>
          <w:szCs w:val="28"/>
          <w:lang w:val="el-GR"/>
        </w:rPr>
        <w:lastRenderedPageBreak/>
        <w:t>ΟΡΙΣΜΟΙ</w:t>
      </w:r>
      <w:r w:rsidRPr="004C7F1F">
        <w:rPr>
          <w:b/>
          <w:sz w:val="28"/>
          <w:szCs w:val="28"/>
          <w:vertAlign w:val="superscript"/>
          <w:lang w:val="el-GR"/>
        </w:rPr>
        <w:footnoteReference w:id="7"/>
      </w:r>
    </w:p>
    <w:p w14:paraId="750ACF4F" w14:textId="77777777" w:rsidR="003D48AE" w:rsidRDefault="009C010A">
      <w:pPr>
        <w:rPr>
          <w:iCs/>
          <w:lang w:val="el-GR"/>
        </w:rPr>
      </w:pPr>
      <w:r>
        <w:rPr>
          <w:b/>
          <w:iCs/>
          <w:u w:val="single"/>
          <w:lang w:val="el-GR"/>
        </w:rPr>
        <w:t>Η κοινωνική προστασία</w:t>
      </w:r>
      <w:r>
        <w:rPr>
          <w:iCs/>
          <w:lang w:val="el-GR"/>
        </w:rPr>
        <w:t xml:space="preserve"> περιλαμβάνει όλες τις παρεμβάσεις δημόσιων ή ιδιωτικών φορέων που έχουν ως σκοπό να ανακουφίσουν τα νοικοκυριά και τα άτομα από το βάρος ενός καθορισμένου συνόλου κινδύνων ή αναγκών, υπό τον όρο ότι δεν χρησιμοποιείται καμία ταυτόχρονη αμοιβαία ρύθμιση ούτε ατομική ρύθμιση.</w:t>
      </w:r>
    </w:p>
    <w:p w14:paraId="3ABFFB24" w14:textId="77777777" w:rsidR="003D48AE" w:rsidRDefault="009C010A">
      <w:pPr>
        <w:rPr>
          <w:iCs/>
          <w:lang w:val="el-GR"/>
        </w:rPr>
      </w:pPr>
      <w:r>
        <w:rPr>
          <w:b/>
          <w:iCs/>
          <w:u w:val="single"/>
          <w:lang w:val="el-GR"/>
        </w:rPr>
        <w:t>Οι λειτουργίες δηλαδή οι κίνδυνοι ή ανάγκες</w:t>
      </w:r>
      <w:r>
        <w:rPr>
          <w:iCs/>
          <w:lang w:val="el-GR"/>
        </w:rPr>
        <w:t xml:space="preserve"> που μπορούν να δικαιολογήσουν παρεμβάσεις κοινωνικής προστασίας είναι οι εξής:</w:t>
      </w:r>
    </w:p>
    <w:p w14:paraId="72126E37" w14:textId="77777777" w:rsidR="003D48AE" w:rsidRDefault="009C010A">
      <w:pPr>
        <w:numPr>
          <w:ilvl w:val="0"/>
          <w:numId w:val="2"/>
        </w:numPr>
        <w:jc w:val="both"/>
        <w:rPr>
          <w:iCs/>
          <w:lang w:val="el-GR"/>
        </w:rPr>
      </w:pPr>
      <w:r>
        <w:rPr>
          <w:iCs/>
          <w:lang w:val="el-GR"/>
        </w:rPr>
        <w:t>Ασθένεια / υγειονομική περίθαλψη: α) παροχές σε χρήμα που αντισταθμίζουν εξ ολοκλήρου ή εν μέρει την απώλεια εισοδήματος εξαιτίας της προσωρινής αδυναμίας του ατόμου προς εργασία λόγω ασθένειας ή τραυματισμού, β) την υγειονομική περίθαλψη που χορηγείται στο πλαίσιο της κοινωνικής προστασίας προκειμένου να διατηρηθεί, αποκατασταθεί ή βελτιωθεί η υγεία των προστατευόμενων προσώπων.</w:t>
      </w:r>
    </w:p>
    <w:p w14:paraId="481B2187" w14:textId="77777777" w:rsidR="003D48AE" w:rsidRDefault="009C010A">
      <w:pPr>
        <w:numPr>
          <w:ilvl w:val="0"/>
          <w:numId w:val="2"/>
        </w:numPr>
        <w:jc w:val="both"/>
        <w:rPr>
          <w:iCs/>
          <w:lang w:val="el-GR"/>
        </w:rPr>
      </w:pPr>
      <w:r>
        <w:rPr>
          <w:iCs/>
          <w:lang w:val="el-GR"/>
        </w:rPr>
        <w:t xml:space="preserve">Αναπηρία: α) παροχές που εξασφαλίζουν εισόδημα σε άτομα τα οποία δεν έχουν συμπληρώσει ακόμη το όριο ηλικίας συνταξιοδότησης που προβλέπεται από το νόμο και δεν έχουν την ικανότητα να εκτελέσουν αμειβόμενη εργασία εξαιτίας σωματικής ή ψυχικής βλάβης β) παροχές που χορηγούν υπηρεσίες αποκατάστασης που απαιτούνται από τη φύση της συγκεκριμένης αναπηρίας γ) παροχές που χορηγούν αγαθά και υπηρεσίες εκτός της ιατρικής μέριμνας σε άτομα με ειδικές ανάγκες. </w:t>
      </w:r>
    </w:p>
    <w:p w14:paraId="53E20119" w14:textId="7D161479" w:rsidR="003D48AE" w:rsidRDefault="009C010A">
      <w:pPr>
        <w:numPr>
          <w:ilvl w:val="0"/>
          <w:numId w:val="2"/>
        </w:numPr>
        <w:jc w:val="both"/>
        <w:rPr>
          <w:iCs/>
          <w:lang w:val="el-GR"/>
        </w:rPr>
      </w:pPr>
      <w:r>
        <w:rPr>
          <w:iCs/>
          <w:lang w:val="el-GR"/>
        </w:rPr>
        <w:t>Γήρας: α) παροχές που διασφαλίζουν τη χορήγηση εισοδήματος στους ασφαλισμένους που αποχωρούν από την αγορά εργασίας λόγω ηλικίας β) παροχές που διασφαλίζουν τη χορήγηση ενός ορισμένου εισοδήματος στους ασφαλισμένους που έχουν συμπληρώσει ένα συγκεκριμένο όριο ηλικίας γ) παροχές που χορηγούν αγαθά και υπηρεσίες που απαιτούνται από την προσωπική ή την κοινωνική κατάσταση των ηλικιωμένων.</w:t>
      </w:r>
    </w:p>
    <w:p w14:paraId="2050F9BF" w14:textId="77777777" w:rsidR="003D48AE" w:rsidRDefault="009C010A">
      <w:pPr>
        <w:numPr>
          <w:ilvl w:val="0"/>
          <w:numId w:val="2"/>
        </w:numPr>
        <w:jc w:val="both"/>
        <w:rPr>
          <w:iCs/>
          <w:lang w:val="el-GR"/>
        </w:rPr>
      </w:pPr>
      <w:r>
        <w:rPr>
          <w:iCs/>
          <w:lang w:val="el-GR"/>
        </w:rPr>
        <w:t>Επιζώντες / Χηρεία : α) παροχές που διασφαλίζουν ένα προσωρινό ή διαρκές εισόδημα σε άτομα που δεν έχουν συμπληρώσει ακόμα τη νόμιμη ηλικία συνταξιοδότησης αλλά έχουν χάσει το σύζυγο ή κάποιο στενό συγγενή τους που τους εξασφάλιζε τα προς το ζην β) παροχές που αποζημιώνουν τους επιζώντες για έξοδα κηδείας και για οποιαδήποτε δυσχερή κατάσταση στην οποία βρίσκονται εξαιτίας του θανάτου ενός μέλους της οικογένειάς τους γ) παροχές που χορηγούν αγαθά και υπηρεσίες σε επιζώντες που έχουν θεμελιώσει δικαίωμα σε αυτά.</w:t>
      </w:r>
    </w:p>
    <w:p w14:paraId="5D89C9CF" w14:textId="77777777" w:rsidR="003D48AE" w:rsidRDefault="009C010A">
      <w:pPr>
        <w:numPr>
          <w:ilvl w:val="0"/>
          <w:numId w:val="2"/>
        </w:numPr>
        <w:jc w:val="both"/>
        <w:rPr>
          <w:iCs/>
          <w:lang w:val="el-GR"/>
        </w:rPr>
      </w:pPr>
      <w:r>
        <w:rPr>
          <w:iCs/>
          <w:lang w:val="el-GR"/>
        </w:rPr>
        <w:t>Οικογένεια / τέκνα: α) παροχές που χορηγούν οικονομική υποστήριξη στα νοικοκυριά για τη διατροφή των τέκνων β) παροχές που χορηγούν οικονομική βοήθεια σε πρόσωπα που συντηρούν συγγενείς πλην τέκνων γ) παροχές που χορηγούν κοινωνικές υπηρεσίες που προορίζονται ειδικά για την υποστήριξη και προστασία της οικογένειας και ιδιαίτερα των τέκνων.</w:t>
      </w:r>
    </w:p>
    <w:p w14:paraId="0A0FF799" w14:textId="77777777" w:rsidR="003D48AE" w:rsidRDefault="009C010A">
      <w:pPr>
        <w:numPr>
          <w:ilvl w:val="0"/>
          <w:numId w:val="2"/>
        </w:numPr>
        <w:jc w:val="both"/>
        <w:rPr>
          <w:iCs/>
          <w:lang w:val="el-GR"/>
        </w:rPr>
      </w:pPr>
      <w:r>
        <w:rPr>
          <w:iCs/>
          <w:lang w:val="el-GR"/>
        </w:rPr>
        <w:t xml:space="preserve">Ανεργία: α) παροχές που αντικαθιστούν εξ ολοκλήρου ή μερικώς το εισόδημα που χάνει ένας εργαζόμενος εξαιτίας της απώλειας αμειβόμενης εργασίας β) παροχές που εξασφαλίζουν ένα </w:t>
      </w:r>
      <w:r>
        <w:rPr>
          <w:iCs/>
          <w:lang w:val="el-GR"/>
        </w:rPr>
        <w:lastRenderedPageBreak/>
        <w:t>εισόδημα επιβίωσης σε άτομα που εισέρχονται για πρώτη ή πρόσθετη φορά στη αγορά εργασίας γ) παροχές που αντισταθμίζουν την απώλεια εισοδήματος λόγω μερικής ανεργίας δ) παροχές που αντικαθιστούν εξ ολοκλήρου ή μερικώς την απώλεια εισοδήματος ενός μεγαλύτερου σε ηλικία εργαζόμενου που συνταξιοδοτείται από αμειβόμενη εργασία πριν από τη συμπλήρωση του νόμιμου ορίου ηλικίας εξαιτίας περικοπών στις θέσεις εργασίας για οικονομικούς λόγους ε) παροχές που συνεισφέρουν στις δαπάνες επιμόρφωσης ή πρόσθετης επιμόρφωσης όσων αναζητούν εργασία ζ) παροχές που βοηθούν τους ανέργους στην αντιμετώπιση των εξόδων ταξιδιού ή στη αλλαγή του τόπου διαμονής τους προκειμένου να βρουν απασχόληση η) παροχές για βοήθεια με τη χορήγηση των κατάλληλων αγαθών και υπηρεσιών.</w:t>
      </w:r>
      <w:bookmarkStart w:id="36" w:name="_GoBack"/>
      <w:bookmarkEnd w:id="36"/>
    </w:p>
    <w:p w14:paraId="1D876F3D" w14:textId="77777777" w:rsidR="0001190B" w:rsidRPr="0001190B" w:rsidRDefault="009C010A" w:rsidP="0001190B">
      <w:pPr>
        <w:numPr>
          <w:ilvl w:val="0"/>
          <w:numId w:val="2"/>
        </w:numPr>
        <w:spacing w:before="360" w:after="240"/>
        <w:ind w:right="-142"/>
        <w:jc w:val="both"/>
        <w:rPr>
          <w:lang w:val="el-GR"/>
        </w:rPr>
      </w:pPr>
      <w:r w:rsidRPr="0001190B">
        <w:rPr>
          <w:iCs/>
          <w:lang w:val="el-GR"/>
        </w:rPr>
        <w:t>Στέγαση: η συγκεκριμένη λειτουργία αποτελείται από παρεμβάσεις του Δημοσίου που στοχεύουν στην υποστήριξη των νοικοκυριών για να αντιμετωπίσουν τις στεγαστικές δαπάνες τους.</w:t>
      </w:r>
    </w:p>
    <w:p w14:paraId="7349A6D9" w14:textId="6FC347C8" w:rsidR="004C7F1F" w:rsidRPr="0001190B" w:rsidRDefault="009C010A" w:rsidP="0001190B">
      <w:pPr>
        <w:numPr>
          <w:ilvl w:val="0"/>
          <w:numId w:val="2"/>
        </w:numPr>
        <w:spacing w:before="360" w:after="240"/>
        <w:ind w:right="-142"/>
        <w:jc w:val="both"/>
        <w:rPr>
          <w:lang w:val="el-GR"/>
        </w:rPr>
      </w:pPr>
      <w:r w:rsidRPr="0001190B">
        <w:rPr>
          <w:iCs/>
          <w:lang w:val="el-GR"/>
        </w:rPr>
        <w:t>Κοινωνικός αποκλεισμός: αναφέρεται σε «κοινωνικά αποκλεισμένους» ή σε εκείνους που αντιμετωπίζουν τον κίνδυνο του κοινωνικού αποκλεισμού και περιλαμβάνει δράσεις που δεν καλύπτονται από άλλη λειτουργία. Επειδή ο ορισμός αυτός είναι αρκετά γενικός, οι ομάδες –στόχοι είναι κυρίως άποροι, μετανάστες, πρόσφυγες, τοξικομανείς ή αλκοολικοί, θύματα εγκληματικών πράξεων κ.ά.</w:t>
      </w:r>
    </w:p>
    <w:bookmarkEnd w:id="18"/>
    <w:p w14:paraId="3BB044B8" w14:textId="77777777" w:rsidR="003D48AE" w:rsidRPr="004C7F1F" w:rsidRDefault="009C010A" w:rsidP="00E92831">
      <w:pPr>
        <w:spacing w:before="5200"/>
        <w:rPr>
          <w:lang w:val="el-GR"/>
        </w:rPr>
      </w:pPr>
      <w:r w:rsidRPr="004C7F1F">
        <w:rPr>
          <w:noProof/>
          <w:lang w:val="el-GR" w:eastAsia="el-GR"/>
        </w:rPr>
        <w:drawing>
          <wp:inline distT="0" distB="0" distL="0" distR="0" wp14:anchorId="5081824A" wp14:editId="137041F4">
            <wp:extent cx="5239385" cy="494665"/>
            <wp:effectExtent l="0" t="0" r="0" b="635"/>
            <wp:docPr id="1442005268" name="Εικόνα 1" descr="ΕΣΠΑ 2021-2027.&#10;Πρόγραμμα Ανθρώπινο Δυναμικό και Κοινωνική Συνοχή.&#10;Με τη συγχρηματοδότηση της Ευρωπαϊκής Έ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05268" name="Εικόνα 1" descr="ΕΣΠΑ 2021-2027.&#10;Πρόγραμμα Ανθρώπινο Δυναμικό και Κοινωνική Συνοχή.&#10;Με τη συγχρηματοδότηση της Ευρωπαϊκής Ένωση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81900" cy="498893"/>
                    </a:xfrm>
                    <a:prstGeom prst="rect">
                      <a:avLst/>
                    </a:prstGeom>
                    <a:noFill/>
                    <a:ln>
                      <a:noFill/>
                    </a:ln>
                  </pic:spPr>
                </pic:pic>
              </a:graphicData>
            </a:graphic>
          </wp:inline>
        </w:drawing>
      </w:r>
    </w:p>
    <w:p w14:paraId="7449142B" w14:textId="77777777" w:rsidR="003D48AE" w:rsidRDefault="003D48AE">
      <w:pPr>
        <w:spacing w:after="80"/>
        <w:rPr>
          <w:sz w:val="24"/>
          <w:szCs w:val="24"/>
          <w:lang w:val="el-GR"/>
        </w:rPr>
      </w:pPr>
    </w:p>
    <w:sectPr w:rsidR="003D48AE" w:rsidSect="002C5C32">
      <w:headerReference w:type="default" r:id="rId20"/>
      <w:footerReference w:type="default" r:id="rId21"/>
      <w:headerReference w:type="first" r:id="rId22"/>
      <w:footerReference w:type="first" r:id="rId23"/>
      <w:pgSz w:w="11906" w:h="16838"/>
      <w:pgMar w:top="2269" w:right="1559" w:bottom="1440" w:left="156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E5CA9" w14:textId="77777777" w:rsidR="001F01B0" w:rsidRDefault="001F01B0">
      <w:pPr>
        <w:spacing w:line="240" w:lineRule="auto"/>
      </w:pPr>
      <w:r>
        <w:separator/>
      </w:r>
    </w:p>
  </w:endnote>
  <w:endnote w:type="continuationSeparator" w:id="0">
    <w:p w14:paraId="6B189E84" w14:textId="77777777" w:rsidR="001F01B0" w:rsidRDefault="001F0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1"/>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Book Antiqua">
    <w:panose1 w:val="02040602050305030304"/>
    <w:charset w:val="A1"/>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E4326" w14:textId="77777777" w:rsidR="006F55C3" w:rsidRDefault="006F55C3">
    <w:pPr>
      <w:pStyle w:val="Footer"/>
      <w:ind w:left="-1701" w:right="140"/>
      <w:jc w:val="right"/>
      <w:rPr>
        <w:lang w:val="el-GR"/>
      </w:rPr>
    </w:pPr>
    <w:r>
      <w:rPr>
        <w:rFonts w:asciiTheme="majorHAnsi" w:eastAsiaTheme="majorEastAsia" w:hAnsiTheme="majorHAnsi" w:cstheme="majorBidi"/>
        <w:sz w:val="20"/>
        <w:szCs w:val="20"/>
        <w:lang w:val="el-GR"/>
      </w:rPr>
      <w:t xml:space="preserve">σελ. </w:t>
    </w:r>
    <w:r>
      <w:rPr>
        <w:rFonts w:eastAsiaTheme="minorEastAsia"/>
        <w:sz w:val="20"/>
        <w:szCs w:val="20"/>
        <w:lang w:val="el-GR"/>
      </w:rPr>
      <w:fldChar w:fldCharType="begin"/>
    </w:r>
    <w:r>
      <w:rPr>
        <w:sz w:val="20"/>
        <w:szCs w:val="20"/>
        <w:lang w:val="el-GR"/>
      </w:rPr>
      <w:instrText>PAGE    \* MERGEFORMAT</w:instrText>
    </w:r>
    <w:r>
      <w:rPr>
        <w:rFonts w:eastAsiaTheme="minorEastAsia"/>
        <w:sz w:val="20"/>
        <w:szCs w:val="20"/>
        <w:lang w:val="el-GR"/>
      </w:rPr>
      <w:fldChar w:fldCharType="separate"/>
    </w:r>
    <w:r w:rsidR="0001190B" w:rsidRPr="0001190B">
      <w:rPr>
        <w:rFonts w:eastAsiaTheme="minorEastAsia"/>
        <w:noProof/>
        <w:sz w:val="20"/>
        <w:szCs w:val="20"/>
        <w:lang w:val="el-GR"/>
      </w:rPr>
      <w:t>23</w:t>
    </w:r>
    <w:r>
      <w:rPr>
        <w:rFonts w:asciiTheme="majorHAnsi" w:eastAsiaTheme="majorEastAsia" w:hAnsiTheme="majorHAnsi" w:cstheme="majorBidi"/>
        <w:sz w:val="20"/>
        <w:szCs w:val="20"/>
        <w:lang w:val="el-GR"/>
      </w:rPr>
      <w:fldChar w:fldCharType="end"/>
    </w:r>
  </w:p>
  <w:p w14:paraId="7462E015" w14:textId="77777777" w:rsidR="006F55C3" w:rsidRDefault="006F55C3">
    <w:pPr>
      <w:pStyle w:val="Footer"/>
    </w:pPr>
    <w:r>
      <w:rPr>
        <w:noProof/>
        <w:lang w:val="el-GR" w:eastAsia="el-GR"/>
      </w:rPr>
      <w:drawing>
        <wp:inline distT="0" distB="0" distL="0" distR="0" wp14:anchorId="7ACEE24B" wp14:editId="6DCC5439">
          <wp:extent cx="5490845" cy="698500"/>
          <wp:effectExtent l="0" t="0" r="0" b="0"/>
          <wp:docPr id="833877312" name="Εικόνα 107494504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45040" name="Εικόνα 107494504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pic:cNvPicPr>
                    <a:picLocks noChangeAspect="1"/>
                  </pic:cNvPicPr>
                </pic:nvPicPr>
                <pic:blipFill>
                  <a:blip r:embed="rId1">
                    <a:extLst>
                      <a:ext uri="{28A0092B-C50C-407E-A947-70E740481C1C}">
                        <a14:useLocalDpi xmlns:a14="http://schemas.microsoft.com/office/drawing/2010/main" val="0"/>
                      </a:ext>
                    </a:extLst>
                  </a:blip>
                  <a:srcRect b="33171"/>
                  <a:stretch>
                    <a:fillRect/>
                  </a:stretch>
                </pic:blipFill>
                <pic:spPr>
                  <a:xfrm>
                    <a:off x="0" y="0"/>
                    <a:ext cx="5490845" cy="698986"/>
                  </a:xfrm>
                  <a:prstGeom prst="rect">
                    <a:avLst/>
                  </a:prstGeom>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266DC" w14:textId="77777777" w:rsidR="006F55C3" w:rsidRDefault="006F55C3">
    <w:pPr>
      <w:pStyle w:val="Footer"/>
    </w:pPr>
    <w:r>
      <w:rPr>
        <w:noProof/>
        <w:lang w:val="el-GR" w:eastAsia="el-GR"/>
      </w:rPr>
      <w:drawing>
        <wp:inline distT="0" distB="0" distL="0" distR="0" wp14:anchorId="110A71B3" wp14:editId="58B89334">
          <wp:extent cx="5490845" cy="698500"/>
          <wp:effectExtent l="0" t="0" r="0" b="0"/>
          <wp:docPr id="1918418361" name="Εικόνα 2035893017"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93017" name="Εικόνα 2035893017"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pic:cNvPicPr>
                    <a:picLocks noChangeAspect="1"/>
                  </pic:cNvPicPr>
                </pic:nvPicPr>
                <pic:blipFill>
                  <a:blip r:embed="rId1">
                    <a:extLst>
                      <a:ext uri="{28A0092B-C50C-407E-A947-70E740481C1C}">
                        <a14:useLocalDpi xmlns:a14="http://schemas.microsoft.com/office/drawing/2010/main" val="0"/>
                      </a:ext>
                    </a:extLst>
                  </a:blip>
                  <a:srcRect b="33171"/>
                  <a:stretch>
                    <a:fillRect/>
                  </a:stretch>
                </pic:blipFill>
                <pic:spPr>
                  <a:xfrm>
                    <a:off x="0" y="0"/>
                    <a:ext cx="5490845" cy="698986"/>
                  </a:xfrm>
                  <a:prstGeom prst="rect">
                    <a:avLst/>
                  </a:prstGeom>
                  <a:ln>
                    <a:noFill/>
                  </a:ln>
                </pic:spPr>
              </pic:pic>
            </a:graphicData>
          </a:graphic>
        </wp:inline>
      </w:drawing>
    </w:r>
  </w:p>
  <w:p w14:paraId="4360F7E3" w14:textId="77777777" w:rsidR="006F55C3" w:rsidRDefault="006F55C3">
    <w:pPr>
      <w:pStyle w:val="Footer"/>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65E64" w14:textId="77777777" w:rsidR="001F01B0" w:rsidRDefault="001F01B0">
      <w:pPr>
        <w:spacing w:after="0"/>
      </w:pPr>
      <w:r>
        <w:separator/>
      </w:r>
    </w:p>
  </w:footnote>
  <w:footnote w:type="continuationSeparator" w:id="0">
    <w:p w14:paraId="433493D6" w14:textId="77777777" w:rsidR="001F01B0" w:rsidRDefault="001F01B0">
      <w:pPr>
        <w:spacing w:after="0"/>
      </w:pPr>
      <w:r>
        <w:continuationSeparator/>
      </w:r>
    </w:p>
  </w:footnote>
  <w:footnote w:id="1">
    <w:p w14:paraId="5203DBFE" w14:textId="0178F280" w:rsidR="002C5C32" w:rsidRPr="00A97CD6" w:rsidRDefault="002C5C32" w:rsidP="002C5C32">
      <w:pPr>
        <w:pStyle w:val="FootnoteText"/>
        <w:jc w:val="both"/>
        <w:rPr>
          <w:rFonts w:cstheme="minorHAnsi"/>
          <w:lang w:val="el-GR"/>
        </w:rPr>
      </w:pPr>
      <w:r w:rsidRPr="00A97CD6">
        <w:rPr>
          <w:rStyle w:val="FootnoteReference"/>
          <w:rFonts w:cstheme="minorHAnsi"/>
          <w:lang w:val="el-GR"/>
        </w:rPr>
        <w:footnoteRef/>
      </w:r>
      <w:r w:rsidRPr="00A97CD6">
        <w:rPr>
          <w:rFonts w:cstheme="minorHAnsi"/>
          <w:lang w:val="el-GR"/>
        </w:rPr>
        <w:t xml:space="preserve"> Το Ευρωπαϊκό Σύστημα Ολοκληρωμένων Στατιστικών Κοινωνικής Προστασίας (ESSPROS) δεν καταγράφει δηλαδή το συνολικό κόστος των δημόσιων συστημάτων υγείας, π.χ. λειτουργικό κόστος νοσοκομείων, γενική λειτουργία συστήματος υγείας</w:t>
      </w:r>
    </w:p>
  </w:footnote>
  <w:footnote w:id="2">
    <w:p w14:paraId="5726A44F" w14:textId="416A69EA" w:rsidR="006F55C3" w:rsidRPr="00A97CD6" w:rsidRDefault="006F55C3" w:rsidP="002C5C32">
      <w:pPr>
        <w:pStyle w:val="FootnoteText"/>
        <w:jc w:val="both"/>
        <w:rPr>
          <w:rFonts w:cstheme="minorHAnsi"/>
          <w:lang w:val="el-GR"/>
        </w:rPr>
      </w:pPr>
      <w:r w:rsidRPr="00A97CD6">
        <w:rPr>
          <w:rStyle w:val="FootnoteReference"/>
          <w:rFonts w:cstheme="minorHAnsi"/>
          <w:lang w:val="el-GR"/>
        </w:rPr>
        <w:footnoteRef/>
      </w:r>
      <w:r w:rsidRPr="00A97CD6">
        <w:rPr>
          <w:rFonts w:cstheme="minorHAnsi"/>
          <w:lang w:val="el-GR"/>
        </w:rPr>
        <w:t xml:space="preserve"> Χωρίς να έχουν αφαιρεθεί οι φόροι και οι εισφορές.</w:t>
      </w:r>
    </w:p>
  </w:footnote>
  <w:footnote w:id="3">
    <w:p w14:paraId="007A448B" w14:textId="2A6E1445" w:rsidR="006F55C3" w:rsidRPr="00A97CD6" w:rsidRDefault="006F55C3" w:rsidP="002C5C32">
      <w:pPr>
        <w:pStyle w:val="FootnoteText"/>
        <w:jc w:val="both"/>
        <w:rPr>
          <w:rFonts w:cstheme="minorHAnsi"/>
          <w:lang w:val="el-GR"/>
        </w:rPr>
      </w:pPr>
      <w:r w:rsidRPr="00A97CD6">
        <w:rPr>
          <w:rStyle w:val="FootnoteReference"/>
          <w:rFonts w:cstheme="minorHAnsi"/>
          <w:lang w:val="el-GR"/>
        </w:rPr>
        <w:footnoteRef/>
      </w:r>
      <w:r w:rsidRPr="00A97CD6">
        <w:rPr>
          <w:rFonts w:cstheme="minorHAnsi"/>
          <w:lang w:val="el-GR"/>
        </w:rPr>
        <w:t xml:space="preserve"> Δεν περιλαμβάνονται στα σύνολο των κοινωνικών παροχών τα διοικητικά κόστη.</w:t>
      </w:r>
    </w:p>
  </w:footnote>
  <w:footnote w:id="4">
    <w:p w14:paraId="6DA433CD" w14:textId="5B5F1DD9" w:rsidR="006F55C3" w:rsidRPr="0001190B" w:rsidRDefault="006F55C3" w:rsidP="009C427E">
      <w:pPr>
        <w:spacing w:after="60" w:line="240" w:lineRule="auto"/>
        <w:jc w:val="both"/>
        <w:rPr>
          <w:rFonts w:cstheme="minorHAnsi"/>
          <w:sz w:val="20"/>
          <w:szCs w:val="20"/>
          <w:lang w:val="el-GR"/>
        </w:rPr>
      </w:pPr>
      <w:r w:rsidRPr="00A97CD6">
        <w:rPr>
          <w:rStyle w:val="FootnoteReference"/>
          <w:rFonts w:cstheme="minorHAnsi"/>
          <w:sz w:val="20"/>
          <w:szCs w:val="20"/>
          <w:lang w:val="el-GR"/>
        </w:rPr>
        <w:footnoteRef/>
      </w:r>
      <w:r w:rsidRPr="00A97CD6">
        <w:rPr>
          <w:rFonts w:cstheme="minorHAnsi"/>
          <w:sz w:val="20"/>
          <w:szCs w:val="20"/>
          <w:lang w:val="el-GR"/>
        </w:rPr>
        <w:t xml:space="preserve"> </w:t>
      </w:r>
      <w:r w:rsidRPr="00A97CD6">
        <w:rPr>
          <w:rFonts w:eastAsia="Times New Roman" w:cstheme="minorHAnsi"/>
          <w:sz w:val="20"/>
          <w:szCs w:val="20"/>
          <w:lang w:val="el-GR" w:eastAsia="el-GR"/>
        </w:rPr>
        <w:t xml:space="preserve">Ως «μονάδα αγοραστικής δύναμης (ΜΑΔ)» νοείται η τεχνητή κοινή νομισματική μονάδα αναφοράς που χρησιμοποιείται στην Ευρωπαϊκή Ένωση για να εκφράσει τον όγκο των οικονομικών συγκεντρωτικών μεγεθών για τους σκοπούς των χωρικών συγκρίσεων με τρόπο ώστε να εξαλείφονται οι διαφορές των επιπέδων τιμών μεταξύ κρατών μελών. Βλ. Κανονισμό του Ευρωπαϊκού Κοινοβουλίου και Συμβουλίου, </w:t>
      </w:r>
      <w:hyperlink r:id="rId1" w:tooltip="Επίσημη Εφημερίδα της Ευρωπαϊκής Ένωσης" w:history="1">
        <w:r w:rsidR="009C427E" w:rsidRPr="00A601F9">
          <w:rPr>
            <w:rStyle w:val="Hyperlink"/>
            <w:rFonts w:cstheme="minorHAnsi"/>
            <w:sz w:val="20"/>
            <w:szCs w:val="20"/>
            <w:lang w:val="el-GR"/>
          </w:rPr>
          <w:t>https://eur-lex.europa.eu/legal-content/EL/TXT/HTML/?uri=CELEX:32007R1445</w:t>
        </w:r>
      </w:hyperlink>
      <w:r w:rsidRPr="00A97CD6">
        <w:rPr>
          <w:rFonts w:eastAsia="Times New Roman" w:cstheme="minorHAnsi"/>
          <w:sz w:val="20"/>
          <w:szCs w:val="20"/>
          <w:lang w:val="el-GR" w:eastAsia="el-GR"/>
        </w:rPr>
        <w:t>.</w:t>
      </w:r>
    </w:p>
  </w:footnote>
  <w:footnote w:id="5">
    <w:p w14:paraId="4F643F3A" w14:textId="77777777" w:rsidR="006F55C3" w:rsidRPr="00A97CD6" w:rsidRDefault="006F55C3" w:rsidP="002C5C32">
      <w:pPr>
        <w:pStyle w:val="FootnoteText"/>
        <w:jc w:val="both"/>
        <w:rPr>
          <w:rFonts w:cstheme="minorHAnsi"/>
          <w:lang w:val="el-GR"/>
        </w:rPr>
      </w:pPr>
      <w:r w:rsidRPr="00A97CD6">
        <w:rPr>
          <w:rStyle w:val="FootnoteReference"/>
          <w:rFonts w:cstheme="minorHAnsi"/>
          <w:lang w:val="el-GR"/>
        </w:rPr>
        <w:footnoteRef/>
      </w:r>
      <w:r w:rsidRPr="00A97CD6">
        <w:rPr>
          <w:rFonts w:cstheme="minorHAnsi"/>
          <w:lang w:val="el-GR"/>
        </w:rPr>
        <w:t xml:space="preserve"> Το 2023 εφαρμόζεται για πρώτη χρόνια το πιλοτικό πρόγραμμα του Προσωπικού Βοηθού για άτομα με αναπηρία. </w:t>
      </w:r>
    </w:p>
  </w:footnote>
  <w:footnote w:id="6">
    <w:p w14:paraId="53DA6DE9" w14:textId="77777777" w:rsidR="006F55C3" w:rsidRPr="00A97CD6" w:rsidRDefault="006F55C3" w:rsidP="002C5C32">
      <w:pPr>
        <w:pStyle w:val="FootnoteText"/>
        <w:jc w:val="both"/>
        <w:rPr>
          <w:rFonts w:cstheme="minorHAnsi"/>
          <w:lang w:val="el-GR"/>
        </w:rPr>
      </w:pPr>
      <w:r w:rsidRPr="00A97CD6">
        <w:rPr>
          <w:rStyle w:val="FootnoteReference"/>
          <w:rFonts w:cstheme="minorHAnsi"/>
          <w:lang w:val="el-GR"/>
        </w:rPr>
        <w:footnoteRef/>
      </w:r>
      <w:r w:rsidRPr="00A97CD6">
        <w:rPr>
          <w:rFonts w:cstheme="minorHAnsi"/>
          <w:lang w:val="el-GR"/>
        </w:rPr>
        <w:t xml:space="preserve"> https://ec.europa.eu/eurostat/databrowser/view/dsb_sprex01/default/table?lang=en&amp;category=dsb.dsb_spr.dsb_sprex</w:t>
      </w:r>
    </w:p>
  </w:footnote>
  <w:footnote w:id="7">
    <w:p w14:paraId="7DB75550" w14:textId="77777777" w:rsidR="006F55C3" w:rsidRPr="00A97CD6" w:rsidRDefault="006F55C3" w:rsidP="002C5C32">
      <w:pPr>
        <w:pStyle w:val="FootnoteText"/>
        <w:spacing w:after="60"/>
        <w:jc w:val="both"/>
        <w:rPr>
          <w:rFonts w:cstheme="minorHAnsi"/>
          <w:lang w:val="el-GR"/>
        </w:rPr>
      </w:pPr>
      <w:r w:rsidRPr="00A97CD6">
        <w:rPr>
          <w:rStyle w:val="FootnoteReference"/>
          <w:rFonts w:cstheme="minorHAnsi"/>
          <w:lang w:val="el-GR"/>
        </w:rPr>
        <w:footnoteRef/>
      </w:r>
      <w:r w:rsidRPr="00A97CD6">
        <w:rPr>
          <w:rFonts w:cstheme="minorHAnsi"/>
          <w:lang w:val="el-GR"/>
        </w:rPr>
        <w:t xml:space="preserve"> Πηγή: Ελληνική Στατιστική Αρχή.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6E72F" w14:textId="5BAA5059" w:rsidR="006F55C3" w:rsidRPr="002C5C32" w:rsidRDefault="006F55C3" w:rsidP="002C5C32">
    <w:pPr>
      <w:spacing w:before="240" w:after="0" w:line="240" w:lineRule="auto"/>
      <w:jc w:val="both"/>
      <w:rPr>
        <w:color w:val="7F7F7F" w:themeColor="text1" w:themeTint="80"/>
        <w:sz w:val="28"/>
        <w:szCs w:val="28"/>
        <w:lang w:val="el-GR"/>
      </w:rPr>
    </w:pPr>
    <w:r>
      <w:rPr>
        <w:noProof/>
        <w:lang w:val="el-GR" w:eastAsia="el-GR"/>
      </w:rPr>
      <w:drawing>
        <wp:inline distT="0" distB="0" distL="0" distR="0" wp14:anchorId="0D97D3C7" wp14:editId="4CE8D7E0">
          <wp:extent cx="5561815" cy="959449"/>
          <wp:effectExtent l="0" t="0" r="1270" b="0"/>
          <wp:docPr id="1257662113" name="Εικόνα 329817503"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17503" name="Εικόνα 329817503" descr="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rcRect b="9346"/>
                  <a:stretch>
                    <a:fillRect/>
                  </a:stretch>
                </pic:blipFill>
                <pic:spPr>
                  <a:xfrm>
                    <a:off x="0" y="0"/>
                    <a:ext cx="5581519" cy="962848"/>
                  </a:xfrm>
                  <a:prstGeom prst="rect">
                    <a:avLst/>
                  </a:prstGeom>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35FF4" w14:textId="77777777" w:rsidR="006F55C3" w:rsidRDefault="006F55C3">
    <w:pPr>
      <w:pStyle w:val="Header"/>
      <w:spacing w:before="360"/>
      <w:ind w:left="-1701" w:right="-1298"/>
      <w:jc w:val="center"/>
    </w:pPr>
    <w:r>
      <w:rPr>
        <w:noProof/>
        <w:lang w:val="el-GR" w:eastAsia="el-GR"/>
      </w:rPr>
      <w:drawing>
        <wp:inline distT="0" distB="0" distL="0" distR="0" wp14:anchorId="52C80E02" wp14:editId="5FCE53F1">
          <wp:extent cx="6644640" cy="906780"/>
          <wp:effectExtent l="0" t="0" r="3810" b="0"/>
          <wp:docPr id="1206314513" name="Εικόνα 601517151"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517151" name="Εικόνα 601517151" descr="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rcRect b="9346"/>
                  <a:stretch>
                    <a:fillRect/>
                  </a:stretch>
                </pic:blipFill>
                <pic:spPr>
                  <a:xfrm>
                    <a:off x="0" y="0"/>
                    <a:ext cx="6647616" cy="907186"/>
                  </a:xfrm>
                  <a:prstGeom prst="rect">
                    <a:avLst/>
                  </a:prstGeom>
                  <a:ln>
                    <a:noFill/>
                  </a:ln>
                </pic:spPr>
              </pic:pic>
            </a:graphicData>
          </a:graphic>
        </wp:inline>
      </w:drawing>
    </w:r>
    <w:r>
      <w:rPr>
        <w:noProof/>
        <w:lang w:val="el-GR" w:eastAsia="el-GR"/>
      </w:rPr>
      <w:drawing>
        <wp:inline distT="0" distB="0" distL="0" distR="0" wp14:anchorId="09773000" wp14:editId="3C79359C">
          <wp:extent cx="6187440" cy="876300"/>
          <wp:effectExtent l="0" t="0" r="3810" b="0"/>
          <wp:docPr id="3829029" name="Εικόνα 813336513"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336513" name="Εικόνα 813336513" descr="Λογότυπο του Επιχειρησιακού Προγράμματος Ανάπτυξη Ανθρώπινου Δυναμικού, Εκπαίδευση και Διά Βίου Μάθηση"/>
                  <pic:cNvPicPr>
                    <a:picLocks noChangeAspect="1" noChangeArrowheads="1"/>
                  </pic:cNvPicPr>
                </pic:nvPicPr>
                <pic:blipFill>
                  <a:blip r:embed="rId2">
                    <a:extLst>
                      <a:ext uri="{28A0092B-C50C-407E-A947-70E740481C1C}">
                        <a14:useLocalDpi xmlns:a14="http://schemas.microsoft.com/office/drawing/2010/main" val="0"/>
                      </a:ext>
                    </a:extLst>
                  </a:blip>
                  <a:srcRect l="1" r="688" b="3603"/>
                  <a:stretch>
                    <a:fillRect/>
                  </a:stretch>
                </pic:blipFill>
                <pic:spPr>
                  <a:xfrm>
                    <a:off x="0" y="0"/>
                    <a:ext cx="618744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A4B2E"/>
    <w:multiLevelType w:val="hybridMultilevel"/>
    <w:tmpl w:val="E31E76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 w15:restartNumberingAfterBreak="0">
    <w:nsid w:val="3FD47716"/>
    <w:multiLevelType w:val="hybridMultilevel"/>
    <w:tmpl w:val="C550242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49922EBD"/>
    <w:multiLevelType w:val="multilevel"/>
    <w:tmpl w:val="49922E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2F00CA9"/>
    <w:multiLevelType w:val="multilevel"/>
    <w:tmpl w:val="52F00CA9"/>
    <w:lvl w:ilvl="0">
      <w:start w:val="1"/>
      <w:numFmt w:val="decimal"/>
      <w:pStyle w:val="Heading1"/>
      <w:lvlText w:val="%1"/>
      <w:lvlJc w:val="left"/>
      <w:pPr>
        <w:ind w:left="432" w:hanging="432"/>
      </w:pPr>
      <w:rPr>
        <w:rFonts w:hint="default"/>
      </w:rPr>
    </w:lvl>
    <w:lvl w:ilvl="1">
      <w:start w:val="1"/>
      <w:numFmt w:val="decimal"/>
      <w:pStyle w:val="Heading2"/>
      <w:lvlText w:val="%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B2"/>
    <w:rsid w:val="00000401"/>
    <w:rsid w:val="00000F04"/>
    <w:rsid w:val="00001B0E"/>
    <w:rsid w:val="00001C48"/>
    <w:rsid w:val="0000287E"/>
    <w:rsid w:val="00004A64"/>
    <w:rsid w:val="00004F59"/>
    <w:rsid w:val="00006238"/>
    <w:rsid w:val="00010D6F"/>
    <w:rsid w:val="0001136E"/>
    <w:rsid w:val="00011632"/>
    <w:rsid w:val="0001190B"/>
    <w:rsid w:val="00013C12"/>
    <w:rsid w:val="000141B9"/>
    <w:rsid w:val="0001569F"/>
    <w:rsid w:val="00016989"/>
    <w:rsid w:val="00016D4A"/>
    <w:rsid w:val="00017B09"/>
    <w:rsid w:val="0002091C"/>
    <w:rsid w:val="00020C87"/>
    <w:rsid w:val="000235A7"/>
    <w:rsid w:val="00023EA3"/>
    <w:rsid w:val="00024623"/>
    <w:rsid w:val="000251A7"/>
    <w:rsid w:val="00025A72"/>
    <w:rsid w:val="00026292"/>
    <w:rsid w:val="00026DEE"/>
    <w:rsid w:val="0002706F"/>
    <w:rsid w:val="00027340"/>
    <w:rsid w:val="00027487"/>
    <w:rsid w:val="000277EF"/>
    <w:rsid w:val="00027AA3"/>
    <w:rsid w:val="00027F2E"/>
    <w:rsid w:val="00030659"/>
    <w:rsid w:val="00030AC1"/>
    <w:rsid w:val="00030B4F"/>
    <w:rsid w:val="00030B66"/>
    <w:rsid w:val="0003219C"/>
    <w:rsid w:val="000326C8"/>
    <w:rsid w:val="00032998"/>
    <w:rsid w:val="00033E31"/>
    <w:rsid w:val="0003410A"/>
    <w:rsid w:val="00034FCC"/>
    <w:rsid w:val="000350F5"/>
    <w:rsid w:val="00035153"/>
    <w:rsid w:val="00036148"/>
    <w:rsid w:val="00036267"/>
    <w:rsid w:val="000364EB"/>
    <w:rsid w:val="00036AFB"/>
    <w:rsid w:val="00036E31"/>
    <w:rsid w:val="0003746F"/>
    <w:rsid w:val="000401D1"/>
    <w:rsid w:val="00040C1E"/>
    <w:rsid w:val="00040CA9"/>
    <w:rsid w:val="000431CF"/>
    <w:rsid w:val="000448C1"/>
    <w:rsid w:val="00044D92"/>
    <w:rsid w:val="00045C42"/>
    <w:rsid w:val="00046688"/>
    <w:rsid w:val="00047068"/>
    <w:rsid w:val="000476D6"/>
    <w:rsid w:val="0004785C"/>
    <w:rsid w:val="00050137"/>
    <w:rsid w:val="000514F1"/>
    <w:rsid w:val="00051811"/>
    <w:rsid w:val="00053EC9"/>
    <w:rsid w:val="00053EFC"/>
    <w:rsid w:val="00054C66"/>
    <w:rsid w:val="000568F8"/>
    <w:rsid w:val="00056984"/>
    <w:rsid w:val="00057501"/>
    <w:rsid w:val="00057539"/>
    <w:rsid w:val="00057811"/>
    <w:rsid w:val="0005793A"/>
    <w:rsid w:val="00060355"/>
    <w:rsid w:val="000603B1"/>
    <w:rsid w:val="0006162C"/>
    <w:rsid w:val="00062552"/>
    <w:rsid w:val="00063077"/>
    <w:rsid w:val="00064787"/>
    <w:rsid w:val="00064A90"/>
    <w:rsid w:val="00064AB8"/>
    <w:rsid w:val="00064AC8"/>
    <w:rsid w:val="00064DB2"/>
    <w:rsid w:val="000664D0"/>
    <w:rsid w:val="00066546"/>
    <w:rsid w:val="000674F2"/>
    <w:rsid w:val="00067CD5"/>
    <w:rsid w:val="0007097C"/>
    <w:rsid w:val="00071E02"/>
    <w:rsid w:val="000722E3"/>
    <w:rsid w:val="00073C36"/>
    <w:rsid w:val="00074BA8"/>
    <w:rsid w:val="00074F40"/>
    <w:rsid w:val="000767A8"/>
    <w:rsid w:val="00076819"/>
    <w:rsid w:val="000769FF"/>
    <w:rsid w:val="00080E7B"/>
    <w:rsid w:val="000817A1"/>
    <w:rsid w:val="00081EB3"/>
    <w:rsid w:val="000825F5"/>
    <w:rsid w:val="00082630"/>
    <w:rsid w:val="00083EBB"/>
    <w:rsid w:val="00083F90"/>
    <w:rsid w:val="00085342"/>
    <w:rsid w:val="00086033"/>
    <w:rsid w:val="0008750C"/>
    <w:rsid w:val="00091429"/>
    <w:rsid w:val="000928C5"/>
    <w:rsid w:val="00095D5C"/>
    <w:rsid w:val="00097592"/>
    <w:rsid w:val="000A3589"/>
    <w:rsid w:val="000A4359"/>
    <w:rsid w:val="000A67ED"/>
    <w:rsid w:val="000A7205"/>
    <w:rsid w:val="000A7708"/>
    <w:rsid w:val="000B0FDE"/>
    <w:rsid w:val="000B1003"/>
    <w:rsid w:val="000B3814"/>
    <w:rsid w:val="000B3D31"/>
    <w:rsid w:val="000B4015"/>
    <w:rsid w:val="000B4243"/>
    <w:rsid w:val="000B4DF3"/>
    <w:rsid w:val="000B6438"/>
    <w:rsid w:val="000B7F76"/>
    <w:rsid w:val="000C037E"/>
    <w:rsid w:val="000C2646"/>
    <w:rsid w:val="000C28D2"/>
    <w:rsid w:val="000C318A"/>
    <w:rsid w:val="000C33EE"/>
    <w:rsid w:val="000C4095"/>
    <w:rsid w:val="000C40F9"/>
    <w:rsid w:val="000C54CC"/>
    <w:rsid w:val="000C6F93"/>
    <w:rsid w:val="000C75E0"/>
    <w:rsid w:val="000C7AC1"/>
    <w:rsid w:val="000C7D79"/>
    <w:rsid w:val="000D1AD9"/>
    <w:rsid w:val="000D2E29"/>
    <w:rsid w:val="000D2E36"/>
    <w:rsid w:val="000D3BE7"/>
    <w:rsid w:val="000D4C81"/>
    <w:rsid w:val="000D70C9"/>
    <w:rsid w:val="000E0E48"/>
    <w:rsid w:val="000E1B25"/>
    <w:rsid w:val="000E21F4"/>
    <w:rsid w:val="000E22CF"/>
    <w:rsid w:val="000E2EFC"/>
    <w:rsid w:val="000E494A"/>
    <w:rsid w:val="000E4ABF"/>
    <w:rsid w:val="000E4CB0"/>
    <w:rsid w:val="000E51F1"/>
    <w:rsid w:val="000E56E0"/>
    <w:rsid w:val="000E5ABB"/>
    <w:rsid w:val="000E6AC3"/>
    <w:rsid w:val="000E6AD4"/>
    <w:rsid w:val="000E7D00"/>
    <w:rsid w:val="000F057C"/>
    <w:rsid w:val="000F19A4"/>
    <w:rsid w:val="000F1A80"/>
    <w:rsid w:val="000F1BE8"/>
    <w:rsid w:val="000F20A7"/>
    <w:rsid w:val="000F32BF"/>
    <w:rsid w:val="000F3C7D"/>
    <w:rsid w:val="000F464E"/>
    <w:rsid w:val="000F7CB7"/>
    <w:rsid w:val="001001A5"/>
    <w:rsid w:val="00101514"/>
    <w:rsid w:val="001016BA"/>
    <w:rsid w:val="00101E3E"/>
    <w:rsid w:val="00102193"/>
    <w:rsid w:val="00102B01"/>
    <w:rsid w:val="00103585"/>
    <w:rsid w:val="0010411B"/>
    <w:rsid w:val="00104126"/>
    <w:rsid w:val="00105644"/>
    <w:rsid w:val="0010691C"/>
    <w:rsid w:val="00107885"/>
    <w:rsid w:val="00107C12"/>
    <w:rsid w:val="00107F11"/>
    <w:rsid w:val="00111513"/>
    <w:rsid w:val="0011470C"/>
    <w:rsid w:val="00114A1F"/>
    <w:rsid w:val="00115050"/>
    <w:rsid w:val="00115383"/>
    <w:rsid w:val="00117798"/>
    <w:rsid w:val="001178DE"/>
    <w:rsid w:val="00120801"/>
    <w:rsid w:val="001208F8"/>
    <w:rsid w:val="001215A9"/>
    <w:rsid w:val="00121FC3"/>
    <w:rsid w:val="001220B2"/>
    <w:rsid w:val="00122357"/>
    <w:rsid w:val="001228E5"/>
    <w:rsid w:val="00122E0D"/>
    <w:rsid w:val="001240F2"/>
    <w:rsid w:val="001241AA"/>
    <w:rsid w:val="00124938"/>
    <w:rsid w:val="00124A66"/>
    <w:rsid w:val="001251B9"/>
    <w:rsid w:val="001254A2"/>
    <w:rsid w:val="00125908"/>
    <w:rsid w:val="00127A30"/>
    <w:rsid w:val="00127A93"/>
    <w:rsid w:val="00127F88"/>
    <w:rsid w:val="00130F9F"/>
    <w:rsid w:val="00133290"/>
    <w:rsid w:val="00135882"/>
    <w:rsid w:val="00135C22"/>
    <w:rsid w:val="00136067"/>
    <w:rsid w:val="00136322"/>
    <w:rsid w:val="0013767A"/>
    <w:rsid w:val="001379D4"/>
    <w:rsid w:val="00137E34"/>
    <w:rsid w:val="00140B0F"/>
    <w:rsid w:val="001412B3"/>
    <w:rsid w:val="001419D8"/>
    <w:rsid w:val="00141A47"/>
    <w:rsid w:val="00141FD5"/>
    <w:rsid w:val="00142759"/>
    <w:rsid w:val="00143389"/>
    <w:rsid w:val="00143650"/>
    <w:rsid w:val="001453ED"/>
    <w:rsid w:val="00146455"/>
    <w:rsid w:val="0014671D"/>
    <w:rsid w:val="00147711"/>
    <w:rsid w:val="0014790E"/>
    <w:rsid w:val="00147AB1"/>
    <w:rsid w:val="00150307"/>
    <w:rsid w:val="00151B78"/>
    <w:rsid w:val="00152A10"/>
    <w:rsid w:val="00155A8F"/>
    <w:rsid w:val="00155B1B"/>
    <w:rsid w:val="00155B9C"/>
    <w:rsid w:val="00156294"/>
    <w:rsid w:val="0015674F"/>
    <w:rsid w:val="00156A87"/>
    <w:rsid w:val="001600E4"/>
    <w:rsid w:val="001607FA"/>
    <w:rsid w:val="001612A5"/>
    <w:rsid w:val="001615F4"/>
    <w:rsid w:val="001623D3"/>
    <w:rsid w:val="00162860"/>
    <w:rsid w:val="001637C5"/>
    <w:rsid w:val="00163E31"/>
    <w:rsid w:val="001645B6"/>
    <w:rsid w:val="001647E0"/>
    <w:rsid w:val="00164C3B"/>
    <w:rsid w:val="0016570D"/>
    <w:rsid w:val="0016630F"/>
    <w:rsid w:val="0016641E"/>
    <w:rsid w:val="001668D7"/>
    <w:rsid w:val="00166C4F"/>
    <w:rsid w:val="00167E48"/>
    <w:rsid w:val="0017007C"/>
    <w:rsid w:val="001700B1"/>
    <w:rsid w:val="00170112"/>
    <w:rsid w:val="00172F99"/>
    <w:rsid w:val="00173737"/>
    <w:rsid w:val="00173D7F"/>
    <w:rsid w:val="00174640"/>
    <w:rsid w:val="00174752"/>
    <w:rsid w:val="00175055"/>
    <w:rsid w:val="001755B7"/>
    <w:rsid w:val="00175766"/>
    <w:rsid w:val="001762BC"/>
    <w:rsid w:val="0017715F"/>
    <w:rsid w:val="0017750C"/>
    <w:rsid w:val="00177DE2"/>
    <w:rsid w:val="00180F0E"/>
    <w:rsid w:val="00181FA0"/>
    <w:rsid w:val="00182BD8"/>
    <w:rsid w:val="0018317E"/>
    <w:rsid w:val="001861A9"/>
    <w:rsid w:val="00190721"/>
    <w:rsid w:val="001912EA"/>
    <w:rsid w:val="00191617"/>
    <w:rsid w:val="00192299"/>
    <w:rsid w:val="0019273B"/>
    <w:rsid w:val="00192DE8"/>
    <w:rsid w:val="00192E40"/>
    <w:rsid w:val="00193C8C"/>
    <w:rsid w:val="00195DDA"/>
    <w:rsid w:val="00195EFF"/>
    <w:rsid w:val="00196E8E"/>
    <w:rsid w:val="00197483"/>
    <w:rsid w:val="00197632"/>
    <w:rsid w:val="0019781C"/>
    <w:rsid w:val="0019795A"/>
    <w:rsid w:val="00197F60"/>
    <w:rsid w:val="001A0A17"/>
    <w:rsid w:val="001A0D2C"/>
    <w:rsid w:val="001A0DAE"/>
    <w:rsid w:val="001A0E0A"/>
    <w:rsid w:val="001A157B"/>
    <w:rsid w:val="001A18C7"/>
    <w:rsid w:val="001A2A51"/>
    <w:rsid w:val="001A2DB2"/>
    <w:rsid w:val="001A2EF1"/>
    <w:rsid w:val="001A415E"/>
    <w:rsid w:val="001A4803"/>
    <w:rsid w:val="001A4B01"/>
    <w:rsid w:val="001A4B99"/>
    <w:rsid w:val="001A766F"/>
    <w:rsid w:val="001A78F7"/>
    <w:rsid w:val="001B08FE"/>
    <w:rsid w:val="001B1CE7"/>
    <w:rsid w:val="001B22E8"/>
    <w:rsid w:val="001B2554"/>
    <w:rsid w:val="001B2983"/>
    <w:rsid w:val="001B38E7"/>
    <w:rsid w:val="001B3FF5"/>
    <w:rsid w:val="001B5099"/>
    <w:rsid w:val="001C0348"/>
    <w:rsid w:val="001C03B2"/>
    <w:rsid w:val="001C086F"/>
    <w:rsid w:val="001C153F"/>
    <w:rsid w:val="001C1F90"/>
    <w:rsid w:val="001C3CFE"/>
    <w:rsid w:val="001C503D"/>
    <w:rsid w:val="001C5C5D"/>
    <w:rsid w:val="001C6D9B"/>
    <w:rsid w:val="001C752A"/>
    <w:rsid w:val="001D00EE"/>
    <w:rsid w:val="001D0A17"/>
    <w:rsid w:val="001D137C"/>
    <w:rsid w:val="001D19A9"/>
    <w:rsid w:val="001D2A70"/>
    <w:rsid w:val="001D2EDD"/>
    <w:rsid w:val="001D3091"/>
    <w:rsid w:val="001D35FA"/>
    <w:rsid w:val="001D3672"/>
    <w:rsid w:val="001D37F3"/>
    <w:rsid w:val="001D4E68"/>
    <w:rsid w:val="001D5992"/>
    <w:rsid w:val="001D5F1A"/>
    <w:rsid w:val="001D6A57"/>
    <w:rsid w:val="001D6FC1"/>
    <w:rsid w:val="001D722B"/>
    <w:rsid w:val="001D74D2"/>
    <w:rsid w:val="001D764A"/>
    <w:rsid w:val="001E03A7"/>
    <w:rsid w:val="001E04ED"/>
    <w:rsid w:val="001E12EA"/>
    <w:rsid w:val="001E1CA2"/>
    <w:rsid w:val="001E323F"/>
    <w:rsid w:val="001E4AC0"/>
    <w:rsid w:val="001E57F5"/>
    <w:rsid w:val="001E62B3"/>
    <w:rsid w:val="001E6AAF"/>
    <w:rsid w:val="001E7BA9"/>
    <w:rsid w:val="001F01B0"/>
    <w:rsid w:val="001F2672"/>
    <w:rsid w:val="001F3B9B"/>
    <w:rsid w:val="001F4A63"/>
    <w:rsid w:val="001F52C8"/>
    <w:rsid w:val="001F63F0"/>
    <w:rsid w:val="001F6A5E"/>
    <w:rsid w:val="001F6EF6"/>
    <w:rsid w:val="001F7564"/>
    <w:rsid w:val="002002E3"/>
    <w:rsid w:val="00200897"/>
    <w:rsid w:val="00200BE7"/>
    <w:rsid w:val="0020258C"/>
    <w:rsid w:val="0020260D"/>
    <w:rsid w:val="002039C0"/>
    <w:rsid w:val="00203B05"/>
    <w:rsid w:val="00203EB7"/>
    <w:rsid w:val="00204642"/>
    <w:rsid w:val="00204986"/>
    <w:rsid w:val="00206058"/>
    <w:rsid w:val="002073FF"/>
    <w:rsid w:val="00207A89"/>
    <w:rsid w:val="002116D5"/>
    <w:rsid w:val="00211A50"/>
    <w:rsid w:val="00212CC9"/>
    <w:rsid w:val="00212FFF"/>
    <w:rsid w:val="0021310E"/>
    <w:rsid w:val="00213404"/>
    <w:rsid w:val="002144EA"/>
    <w:rsid w:val="00214700"/>
    <w:rsid w:val="00214EBA"/>
    <w:rsid w:val="0021573C"/>
    <w:rsid w:val="002157AD"/>
    <w:rsid w:val="00216669"/>
    <w:rsid w:val="0021728C"/>
    <w:rsid w:val="002201F2"/>
    <w:rsid w:val="00222527"/>
    <w:rsid w:val="00222C20"/>
    <w:rsid w:val="002250FA"/>
    <w:rsid w:val="00225304"/>
    <w:rsid w:val="00225305"/>
    <w:rsid w:val="00225537"/>
    <w:rsid w:val="002261CA"/>
    <w:rsid w:val="002267EB"/>
    <w:rsid w:val="002269B0"/>
    <w:rsid w:val="00227C7F"/>
    <w:rsid w:val="00227ECE"/>
    <w:rsid w:val="00230692"/>
    <w:rsid w:val="002309C0"/>
    <w:rsid w:val="00230FEB"/>
    <w:rsid w:val="00231092"/>
    <w:rsid w:val="002313EC"/>
    <w:rsid w:val="00231D4F"/>
    <w:rsid w:val="00231F2B"/>
    <w:rsid w:val="00232921"/>
    <w:rsid w:val="00232D4D"/>
    <w:rsid w:val="00233A09"/>
    <w:rsid w:val="00235081"/>
    <w:rsid w:val="002350D8"/>
    <w:rsid w:val="0023531A"/>
    <w:rsid w:val="002358EA"/>
    <w:rsid w:val="00235A0C"/>
    <w:rsid w:val="00235D14"/>
    <w:rsid w:val="002369C6"/>
    <w:rsid w:val="00237E8E"/>
    <w:rsid w:val="0024270C"/>
    <w:rsid w:val="002430DA"/>
    <w:rsid w:val="0024323F"/>
    <w:rsid w:val="0024363C"/>
    <w:rsid w:val="00244749"/>
    <w:rsid w:val="00245176"/>
    <w:rsid w:val="00246088"/>
    <w:rsid w:val="00246EDE"/>
    <w:rsid w:val="00247073"/>
    <w:rsid w:val="002521B4"/>
    <w:rsid w:val="00253166"/>
    <w:rsid w:val="00253A53"/>
    <w:rsid w:val="00254B70"/>
    <w:rsid w:val="00255BAD"/>
    <w:rsid w:val="002561F5"/>
    <w:rsid w:val="00257015"/>
    <w:rsid w:val="00257BD8"/>
    <w:rsid w:val="00260620"/>
    <w:rsid w:val="00260D0E"/>
    <w:rsid w:val="002640C3"/>
    <w:rsid w:val="0026429F"/>
    <w:rsid w:val="002648EF"/>
    <w:rsid w:val="0026536B"/>
    <w:rsid w:val="002653D4"/>
    <w:rsid w:val="002668BB"/>
    <w:rsid w:val="002669F4"/>
    <w:rsid w:val="00267765"/>
    <w:rsid w:val="002679EF"/>
    <w:rsid w:val="00271088"/>
    <w:rsid w:val="002710F5"/>
    <w:rsid w:val="00271EC1"/>
    <w:rsid w:val="00273C2C"/>
    <w:rsid w:val="00273E07"/>
    <w:rsid w:val="0027406D"/>
    <w:rsid w:val="00275014"/>
    <w:rsid w:val="00275553"/>
    <w:rsid w:val="0027752E"/>
    <w:rsid w:val="00277FC6"/>
    <w:rsid w:val="00281166"/>
    <w:rsid w:val="00282458"/>
    <w:rsid w:val="002835DA"/>
    <w:rsid w:val="00283ECB"/>
    <w:rsid w:val="00285961"/>
    <w:rsid w:val="00290406"/>
    <w:rsid w:val="00291173"/>
    <w:rsid w:val="00291A1F"/>
    <w:rsid w:val="0029276C"/>
    <w:rsid w:val="00293743"/>
    <w:rsid w:val="0029431E"/>
    <w:rsid w:val="002943E5"/>
    <w:rsid w:val="00294795"/>
    <w:rsid w:val="002956E5"/>
    <w:rsid w:val="00297B4E"/>
    <w:rsid w:val="002A09DB"/>
    <w:rsid w:val="002A1383"/>
    <w:rsid w:val="002A1BE9"/>
    <w:rsid w:val="002A1C99"/>
    <w:rsid w:val="002A2355"/>
    <w:rsid w:val="002A3AA8"/>
    <w:rsid w:val="002A4671"/>
    <w:rsid w:val="002A52C8"/>
    <w:rsid w:val="002A5A3A"/>
    <w:rsid w:val="002A5E14"/>
    <w:rsid w:val="002A5E5A"/>
    <w:rsid w:val="002A6A02"/>
    <w:rsid w:val="002A7F9A"/>
    <w:rsid w:val="002B0AD5"/>
    <w:rsid w:val="002B0F74"/>
    <w:rsid w:val="002B1568"/>
    <w:rsid w:val="002B16EC"/>
    <w:rsid w:val="002B292D"/>
    <w:rsid w:val="002B2E7D"/>
    <w:rsid w:val="002B2EB9"/>
    <w:rsid w:val="002B316F"/>
    <w:rsid w:val="002B508B"/>
    <w:rsid w:val="002B59B0"/>
    <w:rsid w:val="002B6A65"/>
    <w:rsid w:val="002B6E3E"/>
    <w:rsid w:val="002C0A1C"/>
    <w:rsid w:val="002C0B3C"/>
    <w:rsid w:val="002C0BE8"/>
    <w:rsid w:val="002C10B1"/>
    <w:rsid w:val="002C113D"/>
    <w:rsid w:val="002C2221"/>
    <w:rsid w:val="002C2572"/>
    <w:rsid w:val="002C47EE"/>
    <w:rsid w:val="002C4D68"/>
    <w:rsid w:val="002C52CE"/>
    <w:rsid w:val="002C5A76"/>
    <w:rsid w:val="002C5C32"/>
    <w:rsid w:val="002C5DE1"/>
    <w:rsid w:val="002C6570"/>
    <w:rsid w:val="002C71A4"/>
    <w:rsid w:val="002C75E5"/>
    <w:rsid w:val="002C7C23"/>
    <w:rsid w:val="002D072A"/>
    <w:rsid w:val="002D0B63"/>
    <w:rsid w:val="002D0E42"/>
    <w:rsid w:val="002D115E"/>
    <w:rsid w:val="002D1D04"/>
    <w:rsid w:val="002D2023"/>
    <w:rsid w:val="002D2673"/>
    <w:rsid w:val="002D37CA"/>
    <w:rsid w:val="002D395C"/>
    <w:rsid w:val="002D3EEB"/>
    <w:rsid w:val="002D40C5"/>
    <w:rsid w:val="002D557F"/>
    <w:rsid w:val="002D679C"/>
    <w:rsid w:val="002D70C9"/>
    <w:rsid w:val="002D7418"/>
    <w:rsid w:val="002D7B7A"/>
    <w:rsid w:val="002E13B5"/>
    <w:rsid w:val="002E161F"/>
    <w:rsid w:val="002E3124"/>
    <w:rsid w:val="002E3266"/>
    <w:rsid w:val="002E378C"/>
    <w:rsid w:val="002E45AD"/>
    <w:rsid w:val="002E4CB4"/>
    <w:rsid w:val="002E5997"/>
    <w:rsid w:val="002E60B3"/>
    <w:rsid w:val="002E6272"/>
    <w:rsid w:val="002E70E3"/>
    <w:rsid w:val="002E7347"/>
    <w:rsid w:val="002E7665"/>
    <w:rsid w:val="002E7B62"/>
    <w:rsid w:val="002F00F5"/>
    <w:rsid w:val="002F03FF"/>
    <w:rsid w:val="002F1E9B"/>
    <w:rsid w:val="002F1EC5"/>
    <w:rsid w:val="002F2388"/>
    <w:rsid w:val="002F45E8"/>
    <w:rsid w:val="002F4B34"/>
    <w:rsid w:val="002F56E7"/>
    <w:rsid w:val="002F5C47"/>
    <w:rsid w:val="002F5DEA"/>
    <w:rsid w:val="002F77B6"/>
    <w:rsid w:val="00300331"/>
    <w:rsid w:val="00301453"/>
    <w:rsid w:val="00301FD6"/>
    <w:rsid w:val="0030347E"/>
    <w:rsid w:val="00303E53"/>
    <w:rsid w:val="00304086"/>
    <w:rsid w:val="0030416A"/>
    <w:rsid w:val="00305F28"/>
    <w:rsid w:val="00306EBA"/>
    <w:rsid w:val="00306F87"/>
    <w:rsid w:val="003070F3"/>
    <w:rsid w:val="00315B61"/>
    <w:rsid w:val="003161F4"/>
    <w:rsid w:val="00316412"/>
    <w:rsid w:val="00316833"/>
    <w:rsid w:val="00316B0A"/>
    <w:rsid w:val="003175BF"/>
    <w:rsid w:val="00317A10"/>
    <w:rsid w:val="00317D0D"/>
    <w:rsid w:val="00317ED8"/>
    <w:rsid w:val="003201B9"/>
    <w:rsid w:val="0032045D"/>
    <w:rsid w:val="00323EF5"/>
    <w:rsid w:val="00324516"/>
    <w:rsid w:val="0032679F"/>
    <w:rsid w:val="003275A4"/>
    <w:rsid w:val="003276EB"/>
    <w:rsid w:val="00331DFE"/>
    <w:rsid w:val="0033245E"/>
    <w:rsid w:val="003330EA"/>
    <w:rsid w:val="00333438"/>
    <w:rsid w:val="00333599"/>
    <w:rsid w:val="00333895"/>
    <w:rsid w:val="0033391E"/>
    <w:rsid w:val="00334A96"/>
    <w:rsid w:val="00335087"/>
    <w:rsid w:val="003350FE"/>
    <w:rsid w:val="00335BE3"/>
    <w:rsid w:val="003361D5"/>
    <w:rsid w:val="00336623"/>
    <w:rsid w:val="00337707"/>
    <w:rsid w:val="00340B07"/>
    <w:rsid w:val="00341B31"/>
    <w:rsid w:val="003436DD"/>
    <w:rsid w:val="00343769"/>
    <w:rsid w:val="00343876"/>
    <w:rsid w:val="0034403A"/>
    <w:rsid w:val="003460F2"/>
    <w:rsid w:val="00347356"/>
    <w:rsid w:val="00347517"/>
    <w:rsid w:val="003478A0"/>
    <w:rsid w:val="00347FD2"/>
    <w:rsid w:val="003504F6"/>
    <w:rsid w:val="00351FD5"/>
    <w:rsid w:val="003529E6"/>
    <w:rsid w:val="00352D70"/>
    <w:rsid w:val="003530C9"/>
    <w:rsid w:val="003533B1"/>
    <w:rsid w:val="003533DE"/>
    <w:rsid w:val="00353835"/>
    <w:rsid w:val="00354249"/>
    <w:rsid w:val="00354E9A"/>
    <w:rsid w:val="003570AA"/>
    <w:rsid w:val="003572AC"/>
    <w:rsid w:val="00357E25"/>
    <w:rsid w:val="0036020D"/>
    <w:rsid w:val="0036077E"/>
    <w:rsid w:val="00360CB7"/>
    <w:rsid w:val="00360F1B"/>
    <w:rsid w:val="003621D5"/>
    <w:rsid w:val="003626C7"/>
    <w:rsid w:val="00362B0B"/>
    <w:rsid w:val="00362E4B"/>
    <w:rsid w:val="003638B2"/>
    <w:rsid w:val="00363FF6"/>
    <w:rsid w:val="003645F9"/>
    <w:rsid w:val="003652B9"/>
    <w:rsid w:val="00365324"/>
    <w:rsid w:val="00365AD7"/>
    <w:rsid w:val="0036626B"/>
    <w:rsid w:val="00367060"/>
    <w:rsid w:val="00371CC6"/>
    <w:rsid w:val="00372060"/>
    <w:rsid w:val="00372803"/>
    <w:rsid w:val="00372818"/>
    <w:rsid w:val="00373A86"/>
    <w:rsid w:val="00374572"/>
    <w:rsid w:val="003746A6"/>
    <w:rsid w:val="00375C70"/>
    <w:rsid w:val="00377025"/>
    <w:rsid w:val="003775B4"/>
    <w:rsid w:val="003800AB"/>
    <w:rsid w:val="00380183"/>
    <w:rsid w:val="00381A73"/>
    <w:rsid w:val="00382012"/>
    <w:rsid w:val="00382583"/>
    <w:rsid w:val="003827A0"/>
    <w:rsid w:val="00382CC6"/>
    <w:rsid w:val="00382EFA"/>
    <w:rsid w:val="003855FE"/>
    <w:rsid w:val="0038573B"/>
    <w:rsid w:val="00385E69"/>
    <w:rsid w:val="003861E8"/>
    <w:rsid w:val="00390E5D"/>
    <w:rsid w:val="003910F9"/>
    <w:rsid w:val="0039264E"/>
    <w:rsid w:val="00393F0D"/>
    <w:rsid w:val="00394F81"/>
    <w:rsid w:val="00397072"/>
    <w:rsid w:val="00397972"/>
    <w:rsid w:val="00397A70"/>
    <w:rsid w:val="003A006D"/>
    <w:rsid w:val="003A0D20"/>
    <w:rsid w:val="003A1BE5"/>
    <w:rsid w:val="003A3441"/>
    <w:rsid w:val="003A3495"/>
    <w:rsid w:val="003A34BA"/>
    <w:rsid w:val="003A3A7A"/>
    <w:rsid w:val="003A4054"/>
    <w:rsid w:val="003A48E6"/>
    <w:rsid w:val="003A55E1"/>
    <w:rsid w:val="003A599D"/>
    <w:rsid w:val="003A5D8D"/>
    <w:rsid w:val="003A6C73"/>
    <w:rsid w:val="003A7E34"/>
    <w:rsid w:val="003B1441"/>
    <w:rsid w:val="003B168D"/>
    <w:rsid w:val="003B2BF8"/>
    <w:rsid w:val="003B41D9"/>
    <w:rsid w:val="003B4A60"/>
    <w:rsid w:val="003B4C8A"/>
    <w:rsid w:val="003B4D49"/>
    <w:rsid w:val="003B52E6"/>
    <w:rsid w:val="003B54D2"/>
    <w:rsid w:val="003B731F"/>
    <w:rsid w:val="003C0900"/>
    <w:rsid w:val="003C0A09"/>
    <w:rsid w:val="003C0C5D"/>
    <w:rsid w:val="003C1230"/>
    <w:rsid w:val="003C1442"/>
    <w:rsid w:val="003C1E35"/>
    <w:rsid w:val="003C4A75"/>
    <w:rsid w:val="003C5D81"/>
    <w:rsid w:val="003C73ED"/>
    <w:rsid w:val="003C7725"/>
    <w:rsid w:val="003C7787"/>
    <w:rsid w:val="003D06FB"/>
    <w:rsid w:val="003D15AB"/>
    <w:rsid w:val="003D1CAE"/>
    <w:rsid w:val="003D1DB7"/>
    <w:rsid w:val="003D41C5"/>
    <w:rsid w:val="003D48AE"/>
    <w:rsid w:val="003D5B0B"/>
    <w:rsid w:val="003D6928"/>
    <w:rsid w:val="003D722C"/>
    <w:rsid w:val="003D74B4"/>
    <w:rsid w:val="003D7AA2"/>
    <w:rsid w:val="003E04F5"/>
    <w:rsid w:val="003E0A03"/>
    <w:rsid w:val="003E1175"/>
    <w:rsid w:val="003E2626"/>
    <w:rsid w:val="003E5906"/>
    <w:rsid w:val="003E5AA1"/>
    <w:rsid w:val="003E668B"/>
    <w:rsid w:val="003E68AA"/>
    <w:rsid w:val="003E692F"/>
    <w:rsid w:val="003E6C76"/>
    <w:rsid w:val="003E6FF1"/>
    <w:rsid w:val="003E7456"/>
    <w:rsid w:val="003E7668"/>
    <w:rsid w:val="003E76B6"/>
    <w:rsid w:val="003F03DB"/>
    <w:rsid w:val="003F0500"/>
    <w:rsid w:val="003F12F6"/>
    <w:rsid w:val="003F2D35"/>
    <w:rsid w:val="003F3C89"/>
    <w:rsid w:val="003F3ED3"/>
    <w:rsid w:val="003F4529"/>
    <w:rsid w:val="003F5690"/>
    <w:rsid w:val="003F79E1"/>
    <w:rsid w:val="00400995"/>
    <w:rsid w:val="00400C58"/>
    <w:rsid w:val="00401F78"/>
    <w:rsid w:val="00401FCA"/>
    <w:rsid w:val="004021EE"/>
    <w:rsid w:val="004026A8"/>
    <w:rsid w:val="00402869"/>
    <w:rsid w:val="00402980"/>
    <w:rsid w:val="00403188"/>
    <w:rsid w:val="00403575"/>
    <w:rsid w:val="0040381B"/>
    <w:rsid w:val="00403970"/>
    <w:rsid w:val="004047E3"/>
    <w:rsid w:val="004051C2"/>
    <w:rsid w:val="004062BB"/>
    <w:rsid w:val="00406905"/>
    <w:rsid w:val="004075FF"/>
    <w:rsid w:val="0041004B"/>
    <w:rsid w:val="004118D1"/>
    <w:rsid w:val="0041191D"/>
    <w:rsid w:val="00411B16"/>
    <w:rsid w:val="00411EDC"/>
    <w:rsid w:val="0041241D"/>
    <w:rsid w:val="004124FE"/>
    <w:rsid w:val="0041280A"/>
    <w:rsid w:val="00412EF4"/>
    <w:rsid w:val="00413974"/>
    <w:rsid w:val="004143F9"/>
    <w:rsid w:val="00414EA5"/>
    <w:rsid w:val="0041507C"/>
    <w:rsid w:val="00415ED7"/>
    <w:rsid w:val="00417396"/>
    <w:rsid w:val="00417678"/>
    <w:rsid w:val="0041790F"/>
    <w:rsid w:val="00420445"/>
    <w:rsid w:val="00421ACC"/>
    <w:rsid w:val="0042213A"/>
    <w:rsid w:val="00423517"/>
    <w:rsid w:val="004244D6"/>
    <w:rsid w:val="00424690"/>
    <w:rsid w:val="00424ABE"/>
    <w:rsid w:val="00425E78"/>
    <w:rsid w:val="00426F39"/>
    <w:rsid w:val="00432806"/>
    <w:rsid w:val="004338AF"/>
    <w:rsid w:val="00433BB2"/>
    <w:rsid w:val="00433EFC"/>
    <w:rsid w:val="00433F23"/>
    <w:rsid w:val="004350D0"/>
    <w:rsid w:val="00435416"/>
    <w:rsid w:val="004354CC"/>
    <w:rsid w:val="00435882"/>
    <w:rsid w:val="00436797"/>
    <w:rsid w:val="00436DBE"/>
    <w:rsid w:val="00437DAE"/>
    <w:rsid w:val="00437DF9"/>
    <w:rsid w:val="00440657"/>
    <w:rsid w:val="00441911"/>
    <w:rsid w:val="00442325"/>
    <w:rsid w:val="00442933"/>
    <w:rsid w:val="004436CA"/>
    <w:rsid w:val="00443937"/>
    <w:rsid w:val="004439B3"/>
    <w:rsid w:val="00444E74"/>
    <w:rsid w:val="00450210"/>
    <w:rsid w:val="004512FC"/>
    <w:rsid w:val="00451479"/>
    <w:rsid w:val="00451BC5"/>
    <w:rsid w:val="00451C05"/>
    <w:rsid w:val="00455D7B"/>
    <w:rsid w:val="00456D60"/>
    <w:rsid w:val="00457097"/>
    <w:rsid w:val="004605AD"/>
    <w:rsid w:val="004609C3"/>
    <w:rsid w:val="00460A4C"/>
    <w:rsid w:val="00460C31"/>
    <w:rsid w:val="004621F5"/>
    <w:rsid w:val="00462C69"/>
    <w:rsid w:val="0046312F"/>
    <w:rsid w:val="0046414A"/>
    <w:rsid w:val="00464451"/>
    <w:rsid w:val="004645B2"/>
    <w:rsid w:val="004706AA"/>
    <w:rsid w:val="00470FA1"/>
    <w:rsid w:val="004714DA"/>
    <w:rsid w:val="0047265B"/>
    <w:rsid w:val="004735C6"/>
    <w:rsid w:val="00474407"/>
    <w:rsid w:val="004753F1"/>
    <w:rsid w:val="004764D9"/>
    <w:rsid w:val="00477EED"/>
    <w:rsid w:val="00480C39"/>
    <w:rsid w:val="004814FD"/>
    <w:rsid w:val="00481697"/>
    <w:rsid w:val="00481743"/>
    <w:rsid w:val="00482356"/>
    <w:rsid w:val="00482515"/>
    <w:rsid w:val="00482E4F"/>
    <w:rsid w:val="00483058"/>
    <w:rsid w:val="004830CA"/>
    <w:rsid w:val="0048373F"/>
    <w:rsid w:val="00483A56"/>
    <w:rsid w:val="00484316"/>
    <w:rsid w:val="0048470E"/>
    <w:rsid w:val="00484A6E"/>
    <w:rsid w:val="0048558A"/>
    <w:rsid w:val="0048585E"/>
    <w:rsid w:val="00485C27"/>
    <w:rsid w:val="00487AE8"/>
    <w:rsid w:val="004914CE"/>
    <w:rsid w:val="0049151C"/>
    <w:rsid w:val="004940EC"/>
    <w:rsid w:val="00494798"/>
    <w:rsid w:val="0049766E"/>
    <w:rsid w:val="00497856"/>
    <w:rsid w:val="004A11C5"/>
    <w:rsid w:val="004A18A7"/>
    <w:rsid w:val="004A1ACF"/>
    <w:rsid w:val="004A24E5"/>
    <w:rsid w:val="004A2FA3"/>
    <w:rsid w:val="004A47B4"/>
    <w:rsid w:val="004A4C17"/>
    <w:rsid w:val="004A60B7"/>
    <w:rsid w:val="004A6923"/>
    <w:rsid w:val="004A6CA0"/>
    <w:rsid w:val="004B1F01"/>
    <w:rsid w:val="004B2C6E"/>
    <w:rsid w:val="004B2CB0"/>
    <w:rsid w:val="004B3D97"/>
    <w:rsid w:val="004B4ABC"/>
    <w:rsid w:val="004B4CE9"/>
    <w:rsid w:val="004B58EB"/>
    <w:rsid w:val="004B63AB"/>
    <w:rsid w:val="004B679B"/>
    <w:rsid w:val="004C01B4"/>
    <w:rsid w:val="004C09FE"/>
    <w:rsid w:val="004C0E44"/>
    <w:rsid w:val="004C17B4"/>
    <w:rsid w:val="004C1DBD"/>
    <w:rsid w:val="004C1FCC"/>
    <w:rsid w:val="004C2FDF"/>
    <w:rsid w:val="004C331F"/>
    <w:rsid w:val="004C332A"/>
    <w:rsid w:val="004C493F"/>
    <w:rsid w:val="004C5306"/>
    <w:rsid w:val="004C5414"/>
    <w:rsid w:val="004C61CC"/>
    <w:rsid w:val="004C750D"/>
    <w:rsid w:val="004C7F1F"/>
    <w:rsid w:val="004D139C"/>
    <w:rsid w:val="004D350F"/>
    <w:rsid w:val="004D46EB"/>
    <w:rsid w:val="004D4964"/>
    <w:rsid w:val="004D49D2"/>
    <w:rsid w:val="004D5455"/>
    <w:rsid w:val="004D5E86"/>
    <w:rsid w:val="004D620B"/>
    <w:rsid w:val="004D6D0C"/>
    <w:rsid w:val="004E0417"/>
    <w:rsid w:val="004E041B"/>
    <w:rsid w:val="004E0BF7"/>
    <w:rsid w:val="004E0F51"/>
    <w:rsid w:val="004E12F3"/>
    <w:rsid w:val="004E197B"/>
    <w:rsid w:val="004E27F8"/>
    <w:rsid w:val="004E35A8"/>
    <w:rsid w:val="004E50C9"/>
    <w:rsid w:val="004E6498"/>
    <w:rsid w:val="004E71C3"/>
    <w:rsid w:val="004E73A2"/>
    <w:rsid w:val="004E7F89"/>
    <w:rsid w:val="004F0089"/>
    <w:rsid w:val="004F00E1"/>
    <w:rsid w:val="004F08D5"/>
    <w:rsid w:val="004F10BA"/>
    <w:rsid w:val="004F16AA"/>
    <w:rsid w:val="004F2C04"/>
    <w:rsid w:val="004F2C5F"/>
    <w:rsid w:val="004F2E54"/>
    <w:rsid w:val="004F3A27"/>
    <w:rsid w:val="004F4406"/>
    <w:rsid w:val="004F4D05"/>
    <w:rsid w:val="004F4F99"/>
    <w:rsid w:val="00502F99"/>
    <w:rsid w:val="0050408D"/>
    <w:rsid w:val="00504767"/>
    <w:rsid w:val="00505FCA"/>
    <w:rsid w:val="00507824"/>
    <w:rsid w:val="00510339"/>
    <w:rsid w:val="00511365"/>
    <w:rsid w:val="00511397"/>
    <w:rsid w:val="00511873"/>
    <w:rsid w:val="005127E0"/>
    <w:rsid w:val="00512FF8"/>
    <w:rsid w:val="00513B57"/>
    <w:rsid w:val="00513D40"/>
    <w:rsid w:val="0051441E"/>
    <w:rsid w:val="005146A2"/>
    <w:rsid w:val="005150B8"/>
    <w:rsid w:val="005164F5"/>
    <w:rsid w:val="00516A9A"/>
    <w:rsid w:val="00516B04"/>
    <w:rsid w:val="00520996"/>
    <w:rsid w:val="005219CB"/>
    <w:rsid w:val="00521BB5"/>
    <w:rsid w:val="00521DDF"/>
    <w:rsid w:val="00522FD7"/>
    <w:rsid w:val="005242B7"/>
    <w:rsid w:val="005246BC"/>
    <w:rsid w:val="00527F5B"/>
    <w:rsid w:val="00530E74"/>
    <w:rsid w:val="005310AA"/>
    <w:rsid w:val="005312F9"/>
    <w:rsid w:val="0053212E"/>
    <w:rsid w:val="00532FD6"/>
    <w:rsid w:val="00536239"/>
    <w:rsid w:val="00540CD8"/>
    <w:rsid w:val="00540F09"/>
    <w:rsid w:val="0054186C"/>
    <w:rsid w:val="00542105"/>
    <w:rsid w:val="00542541"/>
    <w:rsid w:val="00542583"/>
    <w:rsid w:val="00542A08"/>
    <w:rsid w:val="005439C9"/>
    <w:rsid w:val="00544395"/>
    <w:rsid w:val="00544537"/>
    <w:rsid w:val="00544E8D"/>
    <w:rsid w:val="005452E8"/>
    <w:rsid w:val="00545B7C"/>
    <w:rsid w:val="005506D9"/>
    <w:rsid w:val="00550A39"/>
    <w:rsid w:val="00550C68"/>
    <w:rsid w:val="00550DC9"/>
    <w:rsid w:val="00550E07"/>
    <w:rsid w:val="00551336"/>
    <w:rsid w:val="005529CD"/>
    <w:rsid w:val="00553404"/>
    <w:rsid w:val="00554C4F"/>
    <w:rsid w:val="00554D67"/>
    <w:rsid w:val="0055668F"/>
    <w:rsid w:val="00556F7D"/>
    <w:rsid w:val="00557A71"/>
    <w:rsid w:val="00557CA0"/>
    <w:rsid w:val="00557E2A"/>
    <w:rsid w:val="00557F14"/>
    <w:rsid w:val="005603BC"/>
    <w:rsid w:val="005605B6"/>
    <w:rsid w:val="005611BD"/>
    <w:rsid w:val="00561CA1"/>
    <w:rsid w:val="005633DD"/>
    <w:rsid w:val="00563BD6"/>
    <w:rsid w:val="00564A98"/>
    <w:rsid w:val="00566AFF"/>
    <w:rsid w:val="00567053"/>
    <w:rsid w:val="00567189"/>
    <w:rsid w:val="005702E1"/>
    <w:rsid w:val="00570B2E"/>
    <w:rsid w:val="005710A7"/>
    <w:rsid w:val="00571304"/>
    <w:rsid w:val="00571ABE"/>
    <w:rsid w:val="005723E4"/>
    <w:rsid w:val="00573338"/>
    <w:rsid w:val="00573DB6"/>
    <w:rsid w:val="00574351"/>
    <w:rsid w:val="00574487"/>
    <w:rsid w:val="00574E70"/>
    <w:rsid w:val="00576A71"/>
    <w:rsid w:val="0057786D"/>
    <w:rsid w:val="0058101A"/>
    <w:rsid w:val="00581031"/>
    <w:rsid w:val="00581398"/>
    <w:rsid w:val="00581AD6"/>
    <w:rsid w:val="00583780"/>
    <w:rsid w:val="005858A3"/>
    <w:rsid w:val="005862C2"/>
    <w:rsid w:val="0058655B"/>
    <w:rsid w:val="00586AE7"/>
    <w:rsid w:val="00587BB1"/>
    <w:rsid w:val="00587F16"/>
    <w:rsid w:val="00590E56"/>
    <w:rsid w:val="005918F7"/>
    <w:rsid w:val="005919BA"/>
    <w:rsid w:val="005922C2"/>
    <w:rsid w:val="0059344F"/>
    <w:rsid w:val="005940C2"/>
    <w:rsid w:val="005943CF"/>
    <w:rsid w:val="00594E1E"/>
    <w:rsid w:val="00594EE7"/>
    <w:rsid w:val="00595E3B"/>
    <w:rsid w:val="005963AD"/>
    <w:rsid w:val="0059663C"/>
    <w:rsid w:val="00596A26"/>
    <w:rsid w:val="0059728A"/>
    <w:rsid w:val="005976C6"/>
    <w:rsid w:val="005A04FD"/>
    <w:rsid w:val="005A0867"/>
    <w:rsid w:val="005A1000"/>
    <w:rsid w:val="005A1B20"/>
    <w:rsid w:val="005A2557"/>
    <w:rsid w:val="005A4BDA"/>
    <w:rsid w:val="005A5477"/>
    <w:rsid w:val="005A5AE9"/>
    <w:rsid w:val="005A7F50"/>
    <w:rsid w:val="005B11D5"/>
    <w:rsid w:val="005B2F24"/>
    <w:rsid w:val="005B309C"/>
    <w:rsid w:val="005B3FD1"/>
    <w:rsid w:val="005B6E46"/>
    <w:rsid w:val="005B6EFF"/>
    <w:rsid w:val="005B7ABC"/>
    <w:rsid w:val="005B7C1E"/>
    <w:rsid w:val="005B7C45"/>
    <w:rsid w:val="005C1362"/>
    <w:rsid w:val="005C1444"/>
    <w:rsid w:val="005C1B56"/>
    <w:rsid w:val="005C25EB"/>
    <w:rsid w:val="005C287C"/>
    <w:rsid w:val="005C2924"/>
    <w:rsid w:val="005C2AA6"/>
    <w:rsid w:val="005C3043"/>
    <w:rsid w:val="005C4337"/>
    <w:rsid w:val="005C47E1"/>
    <w:rsid w:val="005C6B21"/>
    <w:rsid w:val="005C6C8D"/>
    <w:rsid w:val="005C6FE5"/>
    <w:rsid w:val="005C7679"/>
    <w:rsid w:val="005D06FF"/>
    <w:rsid w:val="005D1A16"/>
    <w:rsid w:val="005D1BE8"/>
    <w:rsid w:val="005D2AE4"/>
    <w:rsid w:val="005D2DB9"/>
    <w:rsid w:val="005D33EF"/>
    <w:rsid w:val="005D4360"/>
    <w:rsid w:val="005D5552"/>
    <w:rsid w:val="005D5D8A"/>
    <w:rsid w:val="005E129A"/>
    <w:rsid w:val="005E1734"/>
    <w:rsid w:val="005E19F0"/>
    <w:rsid w:val="005E4696"/>
    <w:rsid w:val="005E4E40"/>
    <w:rsid w:val="005E53FE"/>
    <w:rsid w:val="005E61D2"/>
    <w:rsid w:val="005E79AF"/>
    <w:rsid w:val="005E7C97"/>
    <w:rsid w:val="005E7D5F"/>
    <w:rsid w:val="005F04D1"/>
    <w:rsid w:val="005F09E5"/>
    <w:rsid w:val="005F0CE6"/>
    <w:rsid w:val="005F1F28"/>
    <w:rsid w:val="005F23E2"/>
    <w:rsid w:val="005F4B26"/>
    <w:rsid w:val="005F5798"/>
    <w:rsid w:val="005F58CA"/>
    <w:rsid w:val="005F5D68"/>
    <w:rsid w:val="005F5FDF"/>
    <w:rsid w:val="005F7C51"/>
    <w:rsid w:val="005F7E7A"/>
    <w:rsid w:val="006003BB"/>
    <w:rsid w:val="006010DD"/>
    <w:rsid w:val="00601145"/>
    <w:rsid w:val="00601910"/>
    <w:rsid w:val="00601917"/>
    <w:rsid w:val="00601EF8"/>
    <w:rsid w:val="00602E03"/>
    <w:rsid w:val="00603139"/>
    <w:rsid w:val="00603FC4"/>
    <w:rsid w:val="00604744"/>
    <w:rsid w:val="00605E13"/>
    <w:rsid w:val="00606376"/>
    <w:rsid w:val="0060637A"/>
    <w:rsid w:val="0061032F"/>
    <w:rsid w:val="006103ED"/>
    <w:rsid w:val="00611089"/>
    <w:rsid w:val="00611252"/>
    <w:rsid w:val="00612CFC"/>
    <w:rsid w:val="006135A9"/>
    <w:rsid w:val="006141A4"/>
    <w:rsid w:val="00616E1F"/>
    <w:rsid w:val="006171CA"/>
    <w:rsid w:val="00620B00"/>
    <w:rsid w:val="0062157B"/>
    <w:rsid w:val="00622205"/>
    <w:rsid w:val="00623FD4"/>
    <w:rsid w:val="00624737"/>
    <w:rsid w:val="00625C1D"/>
    <w:rsid w:val="006265EE"/>
    <w:rsid w:val="00626BD9"/>
    <w:rsid w:val="006272CE"/>
    <w:rsid w:val="006272F1"/>
    <w:rsid w:val="006273FE"/>
    <w:rsid w:val="00630268"/>
    <w:rsid w:val="00630600"/>
    <w:rsid w:val="00630915"/>
    <w:rsid w:val="00630953"/>
    <w:rsid w:val="00630BD0"/>
    <w:rsid w:val="00631302"/>
    <w:rsid w:val="00631F15"/>
    <w:rsid w:val="00632416"/>
    <w:rsid w:val="006329DB"/>
    <w:rsid w:val="00633ADB"/>
    <w:rsid w:val="00633E68"/>
    <w:rsid w:val="0063479E"/>
    <w:rsid w:val="006351EA"/>
    <w:rsid w:val="00635891"/>
    <w:rsid w:val="006364F8"/>
    <w:rsid w:val="0063678C"/>
    <w:rsid w:val="0063699C"/>
    <w:rsid w:val="006401C0"/>
    <w:rsid w:val="006412AF"/>
    <w:rsid w:val="006412FC"/>
    <w:rsid w:val="00641555"/>
    <w:rsid w:val="006415D3"/>
    <w:rsid w:val="00642263"/>
    <w:rsid w:val="0064227E"/>
    <w:rsid w:val="006424BB"/>
    <w:rsid w:val="006438B6"/>
    <w:rsid w:val="00647974"/>
    <w:rsid w:val="00647EB2"/>
    <w:rsid w:val="006509C0"/>
    <w:rsid w:val="00651075"/>
    <w:rsid w:val="006523C4"/>
    <w:rsid w:val="00654527"/>
    <w:rsid w:val="00654FC5"/>
    <w:rsid w:val="00655299"/>
    <w:rsid w:val="0065755A"/>
    <w:rsid w:val="00660008"/>
    <w:rsid w:val="006602CE"/>
    <w:rsid w:val="00661D12"/>
    <w:rsid w:val="006624DD"/>
    <w:rsid w:val="006629E4"/>
    <w:rsid w:val="00663459"/>
    <w:rsid w:val="006634A5"/>
    <w:rsid w:val="00665500"/>
    <w:rsid w:val="00665F8C"/>
    <w:rsid w:val="00667EE6"/>
    <w:rsid w:val="00670114"/>
    <w:rsid w:val="00670713"/>
    <w:rsid w:val="00670CF0"/>
    <w:rsid w:val="0067272F"/>
    <w:rsid w:val="00672C7D"/>
    <w:rsid w:val="0067423A"/>
    <w:rsid w:val="0067580F"/>
    <w:rsid w:val="00680B72"/>
    <w:rsid w:val="0068245B"/>
    <w:rsid w:val="00682860"/>
    <w:rsid w:val="00682A3E"/>
    <w:rsid w:val="00682DF4"/>
    <w:rsid w:val="00690410"/>
    <w:rsid w:val="006907B7"/>
    <w:rsid w:val="00690A10"/>
    <w:rsid w:val="00691E1A"/>
    <w:rsid w:val="00692495"/>
    <w:rsid w:val="006929D5"/>
    <w:rsid w:val="006935A3"/>
    <w:rsid w:val="00693A08"/>
    <w:rsid w:val="00694A92"/>
    <w:rsid w:val="00696A63"/>
    <w:rsid w:val="00697806"/>
    <w:rsid w:val="006978D3"/>
    <w:rsid w:val="006A0EEA"/>
    <w:rsid w:val="006A2B10"/>
    <w:rsid w:val="006A2D6A"/>
    <w:rsid w:val="006A42CE"/>
    <w:rsid w:val="006A5978"/>
    <w:rsid w:val="006A6A2A"/>
    <w:rsid w:val="006A6C8C"/>
    <w:rsid w:val="006A7AA1"/>
    <w:rsid w:val="006B0597"/>
    <w:rsid w:val="006B0D25"/>
    <w:rsid w:val="006B1FA5"/>
    <w:rsid w:val="006B2134"/>
    <w:rsid w:val="006B255C"/>
    <w:rsid w:val="006B2963"/>
    <w:rsid w:val="006B2E9E"/>
    <w:rsid w:val="006B4AF8"/>
    <w:rsid w:val="006B54B9"/>
    <w:rsid w:val="006B62F0"/>
    <w:rsid w:val="006B71D9"/>
    <w:rsid w:val="006B7C1D"/>
    <w:rsid w:val="006C03F5"/>
    <w:rsid w:val="006C0EA9"/>
    <w:rsid w:val="006C137A"/>
    <w:rsid w:val="006C14BF"/>
    <w:rsid w:val="006C3603"/>
    <w:rsid w:val="006C3726"/>
    <w:rsid w:val="006C438F"/>
    <w:rsid w:val="006C43AC"/>
    <w:rsid w:val="006C68C3"/>
    <w:rsid w:val="006C728B"/>
    <w:rsid w:val="006C7302"/>
    <w:rsid w:val="006C774A"/>
    <w:rsid w:val="006C7DBD"/>
    <w:rsid w:val="006D0036"/>
    <w:rsid w:val="006D29BA"/>
    <w:rsid w:val="006D58A6"/>
    <w:rsid w:val="006D59F0"/>
    <w:rsid w:val="006D684C"/>
    <w:rsid w:val="006D6B66"/>
    <w:rsid w:val="006D6EAD"/>
    <w:rsid w:val="006D7135"/>
    <w:rsid w:val="006D7879"/>
    <w:rsid w:val="006E0FC1"/>
    <w:rsid w:val="006E196D"/>
    <w:rsid w:val="006E26B1"/>
    <w:rsid w:val="006E2E3F"/>
    <w:rsid w:val="006E2F39"/>
    <w:rsid w:val="006E3C41"/>
    <w:rsid w:val="006E421E"/>
    <w:rsid w:val="006E6341"/>
    <w:rsid w:val="006F0C4D"/>
    <w:rsid w:val="006F1CF4"/>
    <w:rsid w:val="006F2434"/>
    <w:rsid w:val="006F2D2C"/>
    <w:rsid w:val="006F3415"/>
    <w:rsid w:val="006F3D21"/>
    <w:rsid w:val="006F55C3"/>
    <w:rsid w:val="006F55DD"/>
    <w:rsid w:val="006F5BE0"/>
    <w:rsid w:val="006F6679"/>
    <w:rsid w:val="006F7860"/>
    <w:rsid w:val="006F7EA6"/>
    <w:rsid w:val="00700911"/>
    <w:rsid w:val="00702873"/>
    <w:rsid w:val="00702E4C"/>
    <w:rsid w:val="00703860"/>
    <w:rsid w:val="00704050"/>
    <w:rsid w:val="0070492C"/>
    <w:rsid w:val="00705627"/>
    <w:rsid w:val="00706CDD"/>
    <w:rsid w:val="0070792A"/>
    <w:rsid w:val="00710422"/>
    <w:rsid w:val="007105CD"/>
    <w:rsid w:val="007124D6"/>
    <w:rsid w:val="007127AA"/>
    <w:rsid w:val="00714AFB"/>
    <w:rsid w:val="0071521D"/>
    <w:rsid w:val="00715B51"/>
    <w:rsid w:val="00715F79"/>
    <w:rsid w:val="00716079"/>
    <w:rsid w:val="0071665E"/>
    <w:rsid w:val="007177AA"/>
    <w:rsid w:val="00717ABE"/>
    <w:rsid w:val="00717C87"/>
    <w:rsid w:val="00721276"/>
    <w:rsid w:val="007219BD"/>
    <w:rsid w:val="00722578"/>
    <w:rsid w:val="00723301"/>
    <w:rsid w:val="007239B5"/>
    <w:rsid w:val="00723AA6"/>
    <w:rsid w:val="007241E6"/>
    <w:rsid w:val="00725187"/>
    <w:rsid w:val="00725B68"/>
    <w:rsid w:val="00725BA9"/>
    <w:rsid w:val="0072624C"/>
    <w:rsid w:val="00727E8C"/>
    <w:rsid w:val="00730F34"/>
    <w:rsid w:val="007313A8"/>
    <w:rsid w:val="00732156"/>
    <w:rsid w:val="0073334D"/>
    <w:rsid w:val="00735246"/>
    <w:rsid w:val="00736857"/>
    <w:rsid w:val="00736C88"/>
    <w:rsid w:val="00737145"/>
    <w:rsid w:val="00737D53"/>
    <w:rsid w:val="00737DEE"/>
    <w:rsid w:val="007415FC"/>
    <w:rsid w:val="00741AE5"/>
    <w:rsid w:val="00741C9A"/>
    <w:rsid w:val="00742482"/>
    <w:rsid w:val="00742A7B"/>
    <w:rsid w:val="00745005"/>
    <w:rsid w:val="00745309"/>
    <w:rsid w:val="00745E04"/>
    <w:rsid w:val="007474B6"/>
    <w:rsid w:val="00747FC9"/>
    <w:rsid w:val="00750309"/>
    <w:rsid w:val="00750614"/>
    <w:rsid w:val="00750883"/>
    <w:rsid w:val="0075182B"/>
    <w:rsid w:val="00751C1A"/>
    <w:rsid w:val="00752173"/>
    <w:rsid w:val="0075238E"/>
    <w:rsid w:val="007525C5"/>
    <w:rsid w:val="00752F28"/>
    <w:rsid w:val="00752FEF"/>
    <w:rsid w:val="00753962"/>
    <w:rsid w:val="00753A3D"/>
    <w:rsid w:val="0075427E"/>
    <w:rsid w:val="007564FF"/>
    <w:rsid w:val="00756BDA"/>
    <w:rsid w:val="00757025"/>
    <w:rsid w:val="007570A4"/>
    <w:rsid w:val="00757E8E"/>
    <w:rsid w:val="00760A50"/>
    <w:rsid w:val="007618D8"/>
    <w:rsid w:val="007626F2"/>
    <w:rsid w:val="00762815"/>
    <w:rsid w:val="0076376E"/>
    <w:rsid w:val="0076549A"/>
    <w:rsid w:val="00765601"/>
    <w:rsid w:val="007665EC"/>
    <w:rsid w:val="00766982"/>
    <w:rsid w:val="00766DA5"/>
    <w:rsid w:val="007676FE"/>
    <w:rsid w:val="0076778D"/>
    <w:rsid w:val="00767AF1"/>
    <w:rsid w:val="00767DA2"/>
    <w:rsid w:val="0077009A"/>
    <w:rsid w:val="007706DB"/>
    <w:rsid w:val="00772130"/>
    <w:rsid w:val="007728CE"/>
    <w:rsid w:val="007728F5"/>
    <w:rsid w:val="00772AE2"/>
    <w:rsid w:val="00772F97"/>
    <w:rsid w:val="007731A7"/>
    <w:rsid w:val="00773404"/>
    <w:rsid w:val="00774A03"/>
    <w:rsid w:val="00781790"/>
    <w:rsid w:val="007828CB"/>
    <w:rsid w:val="00782AEF"/>
    <w:rsid w:val="00782C13"/>
    <w:rsid w:val="00784603"/>
    <w:rsid w:val="00784EDF"/>
    <w:rsid w:val="00785E81"/>
    <w:rsid w:val="007866E7"/>
    <w:rsid w:val="00786B8E"/>
    <w:rsid w:val="0078723A"/>
    <w:rsid w:val="007874AF"/>
    <w:rsid w:val="0078788F"/>
    <w:rsid w:val="00787AFA"/>
    <w:rsid w:val="0079033D"/>
    <w:rsid w:val="00790419"/>
    <w:rsid w:val="007905D2"/>
    <w:rsid w:val="007922DE"/>
    <w:rsid w:val="00793614"/>
    <w:rsid w:val="00793BE3"/>
    <w:rsid w:val="00793E54"/>
    <w:rsid w:val="00793E61"/>
    <w:rsid w:val="007941FB"/>
    <w:rsid w:val="0079481B"/>
    <w:rsid w:val="0079504B"/>
    <w:rsid w:val="00795D61"/>
    <w:rsid w:val="00795F51"/>
    <w:rsid w:val="0079688B"/>
    <w:rsid w:val="00797954"/>
    <w:rsid w:val="007A2BF8"/>
    <w:rsid w:val="007A3C7D"/>
    <w:rsid w:val="007A44AD"/>
    <w:rsid w:val="007A47B1"/>
    <w:rsid w:val="007A4817"/>
    <w:rsid w:val="007A5849"/>
    <w:rsid w:val="007A609A"/>
    <w:rsid w:val="007A6750"/>
    <w:rsid w:val="007A6ACE"/>
    <w:rsid w:val="007A6D6A"/>
    <w:rsid w:val="007A6DB4"/>
    <w:rsid w:val="007B0D45"/>
    <w:rsid w:val="007B1846"/>
    <w:rsid w:val="007B1C89"/>
    <w:rsid w:val="007B2ED5"/>
    <w:rsid w:val="007B3052"/>
    <w:rsid w:val="007B45C7"/>
    <w:rsid w:val="007B5748"/>
    <w:rsid w:val="007B5981"/>
    <w:rsid w:val="007B6873"/>
    <w:rsid w:val="007B75D8"/>
    <w:rsid w:val="007C05B7"/>
    <w:rsid w:val="007C0724"/>
    <w:rsid w:val="007C266C"/>
    <w:rsid w:val="007C3C0A"/>
    <w:rsid w:val="007C3C64"/>
    <w:rsid w:val="007C51F3"/>
    <w:rsid w:val="007C698B"/>
    <w:rsid w:val="007C720A"/>
    <w:rsid w:val="007C7D87"/>
    <w:rsid w:val="007D083F"/>
    <w:rsid w:val="007D0EB2"/>
    <w:rsid w:val="007D0EE5"/>
    <w:rsid w:val="007D10F8"/>
    <w:rsid w:val="007D221E"/>
    <w:rsid w:val="007D237E"/>
    <w:rsid w:val="007D2DDE"/>
    <w:rsid w:val="007D31C5"/>
    <w:rsid w:val="007D34DC"/>
    <w:rsid w:val="007D4BE7"/>
    <w:rsid w:val="007D4CD2"/>
    <w:rsid w:val="007D507E"/>
    <w:rsid w:val="007D51AE"/>
    <w:rsid w:val="007D5E2F"/>
    <w:rsid w:val="007D6612"/>
    <w:rsid w:val="007D71E0"/>
    <w:rsid w:val="007E0640"/>
    <w:rsid w:val="007E1190"/>
    <w:rsid w:val="007E28BE"/>
    <w:rsid w:val="007E2E83"/>
    <w:rsid w:val="007E4700"/>
    <w:rsid w:val="007E4D1D"/>
    <w:rsid w:val="007E532C"/>
    <w:rsid w:val="007E631E"/>
    <w:rsid w:val="007E63D0"/>
    <w:rsid w:val="007E6558"/>
    <w:rsid w:val="007E757D"/>
    <w:rsid w:val="007F1065"/>
    <w:rsid w:val="007F1C15"/>
    <w:rsid w:val="007F2530"/>
    <w:rsid w:val="007F26A9"/>
    <w:rsid w:val="007F329A"/>
    <w:rsid w:val="007F3E92"/>
    <w:rsid w:val="007F411A"/>
    <w:rsid w:val="007F4148"/>
    <w:rsid w:val="007F4B3F"/>
    <w:rsid w:val="007F4CAD"/>
    <w:rsid w:val="007F4CF4"/>
    <w:rsid w:val="007F5B63"/>
    <w:rsid w:val="007F65A1"/>
    <w:rsid w:val="007F67F5"/>
    <w:rsid w:val="007F75FF"/>
    <w:rsid w:val="007F7F08"/>
    <w:rsid w:val="00800347"/>
    <w:rsid w:val="00801073"/>
    <w:rsid w:val="008010AF"/>
    <w:rsid w:val="0080121D"/>
    <w:rsid w:val="00801B2E"/>
    <w:rsid w:val="008020CA"/>
    <w:rsid w:val="0080213F"/>
    <w:rsid w:val="008022DA"/>
    <w:rsid w:val="0080253C"/>
    <w:rsid w:val="00802B0F"/>
    <w:rsid w:val="0080393F"/>
    <w:rsid w:val="00804165"/>
    <w:rsid w:val="00804DF8"/>
    <w:rsid w:val="00805A4D"/>
    <w:rsid w:val="00805BBF"/>
    <w:rsid w:val="00805C26"/>
    <w:rsid w:val="00806899"/>
    <w:rsid w:val="00806D0B"/>
    <w:rsid w:val="008075A9"/>
    <w:rsid w:val="00810F8D"/>
    <w:rsid w:val="00810F94"/>
    <w:rsid w:val="00811526"/>
    <w:rsid w:val="00812B98"/>
    <w:rsid w:val="00812D17"/>
    <w:rsid w:val="00813DED"/>
    <w:rsid w:val="008140AD"/>
    <w:rsid w:val="00814404"/>
    <w:rsid w:val="00816237"/>
    <w:rsid w:val="00817446"/>
    <w:rsid w:val="008176DB"/>
    <w:rsid w:val="00817AFF"/>
    <w:rsid w:val="00817DB9"/>
    <w:rsid w:val="0082014F"/>
    <w:rsid w:val="00820FE5"/>
    <w:rsid w:val="008235D8"/>
    <w:rsid w:val="00823CE7"/>
    <w:rsid w:val="00823DF5"/>
    <w:rsid w:val="008242C6"/>
    <w:rsid w:val="00824D63"/>
    <w:rsid w:val="00827466"/>
    <w:rsid w:val="00827CBB"/>
    <w:rsid w:val="00831920"/>
    <w:rsid w:val="008325F6"/>
    <w:rsid w:val="0083649F"/>
    <w:rsid w:val="00836814"/>
    <w:rsid w:val="0083698A"/>
    <w:rsid w:val="00840695"/>
    <w:rsid w:val="00843737"/>
    <w:rsid w:val="00845EC8"/>
    <w:rsid w:val="0084626E"/>
    <w:rsid w:val="008474B7"/>
    <w:rsid w:val="00850BE3"/>
    <w:rsid w:val="0085149B"/>
    <w:rsid w:val="00851554"/>
    <w:rsid w:val="00852C46"/>
    <w:rsid w:val="00854CFD"/>
    <w:rsid w:val="0085508D"/>
    <w:rsid w:val="00855231"/>
    <w:rsid w:val="008553A4"/>
    <w:rsid w:val="008577E6"/>
    <w:rsid w:val="00860598"/>
    <w:rsid w:val="00861631"/>
    <w:rsid w:val="00861B27"/>
    <w:rsid w:val="00861CF0"/>
    <w:rsid w:val="008635BC"/>
    <w:rsid w:val="0086404F"/>
    <w:rsid w:val="00864206"/>
    <w:rsid w:val="0086436B"/>
    <w:rsid w:val="008643DF"/>
    <w:rsid w:val="00865618"/>
    <w:rsid w:val="0086624C"/>
    <w:rsid w:val="00866991"/>
    <w:rsid w:val="00866FB6"/>
    <w:rsid w:val="00870E8B"/>
    <w:rsid w:val="008714E2"/>
    <w:rsid w:val="008740F4"/>
    <w:rsid w:val="00874283"/>
    <w:rsid w:val="008748D2"/>
    <w:rsid w:val="0087498E"/>
    <w:rsid w:val="00874C11"/>
    <w:rsid w:val="00876745"/>
    <w:rsid w:val="00876A27"/>
    <w:rsid w:val="00877140"/>
    <w:rsid w:val="00877A07"/>
    <w:rsid w:val="008808C9"/>
    <w:rsid w:val="00882A2B"/>
    <w:rsid w:val="00883218"/>
    <w:rsid w:val="0088355A"/>
    <w:rsid w:val="008837E8"/>
    <w:rsid w:val="00883B95"/>
    <w:rsid w:val="008848AC"/>
    <w:rsid w:val="00884C71"/>
    <w:rsid w:val="00885159"/>
    <w:rsid w:val="00886744"/>
    <w:rsid w:val="00886B63"/>
    <w:rsid w:val="00890A34"/>
    <w:rsid w:val="00890BC4"/>
    <w:rsid w:val="00890E70"/>
    <w:rsid w:val="00891C81"/>
    <w:rsid w:val="008920BA"/>
    <w:rsid w:val="0089229B"/>
    <w:rsid w:val="008927D8"/>
    <w:rsid w:val="00893CEE"/>
    <w:rsid w:val="00894A46"/>
    <w:rsid w:val="008A0E24"/>
    <w:rsid w:val="008A0F70"/>
    <w:rsid w:val="008A1B54"/>
    <w:rsid w:val="008A2E4C"/>
    <w:rsid w:val="008A2F3C"/>
    <w:rsid w:val="008A3D8E"/>
    <w:rsid w:val="008A4B76"/>
    <w:rsid w:val="008A56B2"/>
    <w:rsid w:val="008A5A94"/>
    <w:rsid w:val="008A619A"/>
    <w:rsid w:val="008A6239"/>
    <w:rsid w:val="008A6B0F"/>
    <w:rsid w:val="008B0488"/>
    <w:rsid w:val="008B2C52"/>
    <w:rsid w:val="008B33C1"/>
    <w:rsid w:val="008B354B"/>
    <w:rsid w:val="008B3677"/>
    <w:rsid w:val="008B3DD4"/>
    <w:rsid w:val="008B4E81"/>
    <w:rsid w:val="008B5EC0"/>
    <w:rsid w:val="008B65F6"/>
    <w:rsid w:val="008C098F"/>
    <w:rsid w:val="008C0CA0"/>
    <w:rsid w:val="008C1557"/>
    <w:rsid w:val="008C1A97"/>
    <w:rsid w:val="008C1C30"/>
    <w:rsid w:val="008C36B6"/>
    <w:rsid w:val="008C3932"/>
    <w:rsid w:val="008C4335"/>
    <w:rsid w:val="008C443A"/>
    <w:rsid w:val="008C6278"/>
    <w:rsid w:val="008D176F"/>
    <w:rsid w:val="008D30C6"/>
    <w:rsid w:val="008D57EE"/>
    <w:rsid w:val="008D596B"/>
    <w:rsid w:val="008D6271"/>
    <w:rsid w:val="008E023C"/>
    <w:rsid w:val="008E05F8"/>
    <w:rsid w:val="008E2BDA"/>
    <w:rsid w:val="008E3314"/>
    <w:rsid w:val="008E3521"/>
    <w:rsid w:val="008E3EAE"/>
    <w:rsid w:val="008E5802"/>
    <w:rsid w:val="008E6325"/>
    <w:rsid w:val="008F2080"/>
    <w:rsid w:val="008F2E68"/>
    <w:rsid w:val="008F311A"/>
    <w:rsid w:val="008F46BB"/>
    <w:rsid w:val="009007EB"/>
    <w:rsid w:val="00900C2F"/>
    <w:rsid w:val="00901104"/>
    <w:rsid w:val="00902467"/>
    <w:rsid w:val="0090283B"/>
    <w:rsid w:val="00902A7C"/>
    <w:rsid w:val="00902BBE"/>
    <w:rsid w:val="00902D16"/>
    <w:rsid w:val="009037FB"/>
    <w:rsid w:val="00903C50"/>
    <w:rsid w:val="00903F32"/>
    <w:rsid w:val="00904094"/>
    <w:rsid w:val="009065A3"/>
    <w:rsid w:val="0090683B"/>
    <w:rsid w:val="00907567"/>
    <w:rsid w:val="009077EA"/>
    <w:rsid w:val="00910EDA"/>
    <w:rsid w:val="009113F5"/>
    <w:rsid w:val="0091162C"/>
    <w:rsid w:val="00911E67"/>
    <w:rsid w:val="00913253"/>
    <w:rsid w:val="009134A3"/>
    <w:rsid w:val="009135F5"/>
    <w:rsid w:val="00913DE9"/>
    <w:rsid w:val="00915ACB"/>
    <w:rsid w:val="00916281"/>
    <w:rsid w:val="00916366"/>
    <w:rsid w:val="009170B5"/>
    <w:rsid w:val="00917420"/>
    <w:rsid w:val="00917FEF"/>
    <w:rsid w:val="009205F6"/>
    <w:rsid w:val="00922564"/>
    <w:rsid w:val="00922C65"/>
    <w:rsid w:val="00924F11"/>
    <w:rsid w:val="00925F43"/>
    <w:rsid w:val="009270EA"/>
    <w:rsid w:val="00930262"/>
    <w:rsid w:val="009313F9"/>
    <w:rsid w:val="00931AC2"/>
    <w:rsid w:val="00931E30"/>
    <w:rsid w:val="00935012"/>
    <w:rsid w:val="009352A9"/>
    <w:rsid w:val="009361D8"/>
    <w:rsid w:val="009365B5"/>
    <w:rsid w:val="00936DB8"/>
    <w:rsid w:val="00937414"/>
    <w:rsid w:val="00937D25"/>
    <w:rsid w:val="009424AE"/>
    <w:rsid w:val="00943BCD"/>
    <w:rsid w:val="00944AC4"/>
    <w:rsid w:val="00945D83"/>
    <w:rsid w:val="00946312"/>
    <w:rsid w:val="0094657F"/>
    <w:rsid w:val="00946BC7"/>
    <w:rsid w:val="0094782B"/>
    <w:rsid w:val="00947FDB"/>
    <w:rsid w:val="009526BF"/>
    <w:rsid w:val="00952CB3"/>
    <w:rsid w:val="00953BBE"/>
    <w:rsid w:val="00953C1C"/>
    <w:rsid w:val="00953E39"/>
    <w:rsid w:val="00954164"/>
    <w:rsid w:val="009552D5"/>
    <w:rsid w:val="00956152"/>
    <w:rsid w:val="009561E1"/>
    <w:rsid w:val="0095653D"/>
    <w:rsid w:val="009605B3"/>
    <w:rsid w:val="009605DA"/>
    <w:rsid w:val="00960AD3"/>
    <w:rsid w:val="00961501"/>
    <w:rsid w:val="009617E3"/>
    <w:rsid w:val="00962269"/>
    <w:rsid w:val="00962D72"/>
    <w:rsid w:val="0096355A"/>
    <w:rsid w:val="00963687"/>
    <w:rsid w:val="009642DC"/>
    <w:rsid w:val="0096447D"/>
    <w:rsid w:val="009649EF"/>
    <w:rsid w:val="00965C03"/>
    <w:rsid w:val="009668F1"/>
    <w:rsid w:val="00967987"/>
    <w:rsid w:val="00967EEA"/>
    <w:rsid w:val="00970107"/>
    <w:rsid w:val="00970566"/>
    <w:rsid w:val="00970B34"/>
    <w:rsid w:val="0097231B"/>
    <w:rsid w:val="00972F29"/>
    <w:rsid w:val="00975308"/>
    <w:rsid w:val="00976429"/>
    <w:rsid w:val="00976564"/>
    <w:rsid w:val="009771A3"/>
    <w:rsid w:val="00977695"/>
    <w:rsid w:val="00980CBA"/>
    <w:rsid w:val="00980ED9"/>
    <w:rsid w:val="009813F5"/>
    <w:rsid w:val="009821B0"/>
    <w:rsid w:val="0098242A"/>
    <w:rsid w:val="009828DE"/>
    <w:rsid w:val="00982AB6"/>
    <w:rsid w:val="00982CF1"/>
    <w:rsid w:val="00982D26"/>
    <w:rsid w:val="00983278"/>
    <w:rsid w:val="00984501"/>
    <w:rsid w:val="00985116"/>
    <w:rsid w:val="00986E22"/>
    <w:rsid w:val="00987AAD"/>
    <w:rsid w:val="00987ADD"/>
    <w:rsid w:val="00991DDE"/>
    <w:rsid w:val="009939FF"/>
    <w:rsid w:val="009954FD"/>
    <w:rsid w:val="0099766A"/>
    <w:rsid w:val="009A09D9"/>
    <w:rsid w:val="009A2C5E"/>
    <w:rsid w:val="009A4B40"/>
    <w:rsid w:val="009A5083"/>
    <w:rsid w:val="009A5620"/>
    <w:rsid w:val="009A5C32"/>
    <w:rsid w:val="009A6AEA"/>
    <w:rsid w:val="009B0485"/>
    <w:rsid w:val="009B19D6"/>
    <w:rsid w:val="009B21E2"/>
    <w:rsid w:val="009B43EE"/>
    <w:rsid w:val="009B4822"/>
    <w:rsid w:val="009B50A3"/>
    <w:rsid w:val="009B6E02"/>
    <w:rsid w:val="009B7D94"/>
    <w:rsid w:val="009C010A"/>
    <w:rsid w:val="009C0B06"/>
    <w:rsid w:val="009C2E83"/>
    <w:rsid w:val="009C4126"/>
    <w:rsid w:val="009C427E"/>
    <w:rsid w:val="009C4D36"/>
    <w:rsid w:val="009C5A66"/>
    <w:rsid w:val="009C61A9"/>
    <w:rsid w:val="009C62D6"/>
    <w:rsid w:val="009C670E"/>
    <w:rsid w:val="009C7B1C"/>
    <w:rsid w:val="009D15B7"/>
    <w:rsid w:val="009D2695"/>
    <w:rsid w:val="009D2D64"/>
    <w:rsid w:val="009D36A4"/>
    <w:rsid w:val="009D3C16"/>
    <w:rsid w:val="009D4ED8"/>
    <w:rsid w:val="009D52DB"/>
    <w:rsid w:val="009D5D40"/>
    <w:rsid w:val="009D5E52"/>
    <w:rsid w:val="009D679D"/>
    <w:rsid w:val="009D7D14"/>
    <w:rsid w:val="009E0982"/>
    <w:rsid w:val="009E1474"/>
    <w:rsid w:val="009E27DC"/>
    <w:rsid w:val="009E3086"/>
    <w:rsid w:val="009E3E73"/>
    <w:rsid w:val="009E40FE"/>
    <w:rsid w:val="009E445F"/>
    <w:rsid w:val="009E50C7"/>
    <w:rsid w:val="009E597D"/>
    <w:rsid w:val="009E5DB4"/>
    <w:rsid w:val="009E68B5"/>
    <w:rsid w:val="009F1437"/>
    <w:rsid w:val="009F18F8"/>
    <w:rsid w:val="009F3CB2"/>
    <w:rsid w:val="009F3F9A"/>
    <w:rsid w:val="009F47A8"/>
    <w:rsid w:val="009F5377"/>
    <w:rsid w:val="009F5A60"/>
    <w:rsid w:val="009F6269"/>
    <w:rsid w:val="009F74A0"/>
    <w:rsid w:val="009F7766"/>
    <w:rsid w:val="009F7E5C"/>
    <w:rsid w:val="00A00DE0"/>
    <w:rsid w:val="00A0137A"/>
    <w:rsid w:val="00A0465B"/>
    <w:rsid w:val="00A04A3F"/>
    <w:rsid w:val="00A05E50"/>
    <w:rsid w:val="00A05F22"/>
    <w:rsid w:val="00A06989"/>
    <w:rsid w:val="00A06AB5"/>
    <w:rsid w:val="00A07007"/>
    <w:rsid w:val="00A108F0"/>
    <w:rsid w:val="00A1133B"/>
    <w:rsid w:val="00A11C2E"/>
    <w:rsid w:val="00A12023"/>
    <w:rsid w:val="00A1225D"/>
    <w:rsid w:val="00A12D48"/>
    <w:rsid w:val="00A13380"/>
    <w:rsid w:val="00A144A3"/>
    <w:rsid w:val="00A162A4"/>
    <w:rsid w:val="00A168ED"/>
    <w:rsid w:val="00A169C6"/>
    <w:rsid w:val="00A17072"/>
    <w:rsid w:val="00A2111A"/>
    <w:rsid w:val="00A219D7"/>
    <w:rsid w:val="00A21A71"/>
    <w:rsid w:val="00A2291A"/>
    <w:rsid w:val="00A249EF"/>
    <w:rsid w:val="00A24FCE"/>
    <w:rsid w:val="00A25E7C"/>
    <w:rsid w:val="00A265CA"/>
    <w:rsid w:val="00A30388"/>
    <w:rsid w:val="00A315B9"/>
    <w:rsid w:val="00A31841"/>
    <w:rsid w:val="00A31B68"/>
    <w:rsid w:val="00A3257A"/>
    <w:rsid w:val="00A329EE"/>
    <w:rsid w:val="00A32B29"/>
    <w:rsid w:val="00A33C7A"/>
    <w:rsid w:val="00A33E48"/>
    <w:rsid w:val="00A34AB1"/>
    <w:rsid w:val="00A36561"/>
    <w:rsid w:val="00A367FC"/>
    <w:rsid w:val="00A36892"/>
    <w:rsid w:val="00A37F75"/>
    <w:rsid w:val="00A400EF"/>
    <w:rsid w:val="00A402E0"/>
    <w:rsid w:val="00A429C4"/>
    <w:rsid w:val="00A441CE"/>
    <w:rsid w:val="00A46504"/>
    <w:rsid w:val="00A473F9"/>
    <w:rsid w:val="00A479F4"/>
    <w:rsid w:val="00A50D3D"/>
    <w:rsid w:val="00A50F93"/>
    <w:rsid w:val="00A51969"/>
    <w:rsid w:val="00A52647"/>
    <w:rsid w:val="00A537E3"/>
    <w:rsid w:val="00A53BF2"/>
    <w:rsid w:val="00A53D3F"/>
    <w:rsid w:val="00A549D0"/>
    <w:rsid w:val="00A55912"/>
    <w:rsid w:val="00A56862"/>
    <w:rsid w:val="00A57DA5"/>
    <w:rsid w:val="00A6009E"/>
    <w:rsid w:val="00A602C3"/>
    <w:rsid w:val="00A626CF"/>
    <w:rsid w:val="00A62E69"/>
    <w:rsid w:val="00A633E9"/>
    <w:rsid w:val="00A638DA"/>
    <w:rsid w:val="00A64B9E"/>
    <w:rsid w:val="00A66385"/>
    <w:rsid w:val="00A663D6"/>
    <w:rsid w:val="00A66492"/>
    <w:rsid w:val="00A667DD"/>
    <w:rsid w:val="00A66CD1"/>
    <w:rsid w:val="00A66D22"/>
    <w:rsid w:val="00A67918"/>
    <w:rsid w:val="00A67B4F"/>
    <w:rsid w:val="00A67ECB"/>
    <w:rsid w:val="00A70BE2"/>
    <w:rsid w:val="00A70EA1"/>
    <w:rsid w:val="00A71507"/>
    <w:rsid w:val="00A71CCC"/>
    <w:rsid w:val="00A7253F"/>
    <w:rsid w:val="00A73290"/>
    <w:rsid w:val="00A73375"/>
    <w:rsid w:val="00A73713"/>
    <w:rsid w:val="00A744DB"/>
    <w:rsid w:val="00A7536D"/>
    <w:rsid w:val="00A75591"/>
    <w:rsid w:val="00A75A45"/>
    <w:rsid w:val="00A82A4A"/>
    <w:rsid w:val="00A82C54"/>
    <w:rsid w:val="00A857B3"/>
    <w:rsid w:val="00A85B30"/>
    <w:rsid w:val="00A85EB6"/>
    <w:rsid w:val="00A86589"/>
    <w:rsid w:val="00A87577"/>
    <w:rsid w:val="00A87FA8"/>
    <w:rsid w:val="00A87FF8"/>
    <w:rsid w:val="00A917D6"/>
    <w:rsid w:val="00A9303E"/>
    <w:rsid w:val="00A93237"/>
    <w:rsid w:val="00A93FE8"/>
    <w:rsid w:val="00A941FB"/>
    <w:rsid w:val="00A94D6D"/>
    <w:rsid w:val="00A9512D"/>
    <w:rsid w:val="00A95E35"/>
    <w:rsid w:val="00A96381"/>
    <w:rsid w:val="00A96EEC"/>
    <w:rsid w:val="00A97714"/>
    <w:rsid w:val="00A97CD6"/>
    <w:rsid w:val="00AA0D7F"/>
    <w:rsid w:val="00AA0EDB"/>
    <w:rsid w:val="00AA15F8"/>
    <w:rsid w:val="00AA1ED8"/>
    <w:rsid w:val="00AA21A6"/>
    <w:rsid w:val="00AA230F"/>
    <w:rsid w:val="00AA301B"/>
    <w:rsid w:val="00AA53AE"/>
    <w:rsid w:val="00AA560B"/>
    <w:rsid w:val="00AA5A2B"/>
    <w:rsid w:val="00AA71C3"/>
    <w:rsid w:val="00AB1285"/>
    <w:rsid w:val="00AB2107"/>
    <w:rsid w:val="00AB2DA6"/>
    <w:rsid w:val="00AB36FA"/>
    <w:rsid w:val="00AB56F8"/>
    <w:rsid w:val="00AB5DE7"/>
    <w:rsid w:val="00AB6681"/>
    <w:rsid w:val="00AB727F"/>
    <w:rsid w:val="00AB798C"/>
    <w:rsid w:val="00AC0E76"/>
    <w:rsid w:val="00AC186B"/>
    <w:rsid w:val="00AC1CF4"/>
    <w:rsid w:val="00AC314A"/>
    <w:rsid w:val="00AC31BB"/>
    <w:rsid w:val="00AC365B"/>
    <w:rsid w:val="00AC379B"/>
    <w:rsid w:val="00AC4EF4"/>
    <w:rsid w:val="00AC4FFC"/>
    <w:rsid w:val="00AC5C6E"/>
    <w:rsid w:val="00AC6607"/>
    <w:rsid w:val="00AC6B14"/>
    <w:rsid w:val="00AC7272"/>
    <w:rsid w:val="00AC7AC3"/>
    <w:rsid w:val="00AD0D57"/>
    <w:rsid w:val="00AD1823"/>
    <w:rsid w:val="00AD2631"/>
    <w:rsid w:val="00AD2B28"/>
    <w:rsid w:val="00AD2CE0"/>
    <w:rsid w:val="00AD39FA"/>
    <w:rsid w:val="00AD3A2D"/>
    <w:rsid w:val="00AD3DBC"/>
    <w:rsid w:val="00AD4B09"/>
    <w:rsid w:val="00AD4C9F"/>
    <w:rsid w:val="00AD50FD"/>
    <w:rsid w:val="00AD5226"/>
    <w:rsid w:val="00AD5367"/>
    <w:rsid w:val="00AD5386"/>
    <w:rsid w:val="00AD62A0"/>
    <w:rsid w:val="00AD6856"/>
    <w:rsid w:val="00AE0631"/>
    <w:rsid w:val="00AE18E1"/>
    <w:rsid w:val="00AE233D"/>
    <w:rsid w:val="00AE24F0"/>
    <w:rsid w:val="00AE2763"/>
    <w:rsid w:val="00AE2E28"/>
    <w:rsid w:val="00AE3647"/>
    <w:rsid w:val="00AE37B5"/>
    <w:rsid w:val="00AE44BB"/>
    <w:rsid w:val="00AE6250"/>
    <w:rsid w:val="00AE6505"/>
    <w:rsid w:val="00AE69AD"/>
    <w:rsid w:val="00AF0794"/>
    <w:rsid w:val="00AF08E9"/>
    <w:rsid w:val="00AF12CA"/>
    <w:rsid w:val="00AF12D7"/>
    <w:rsid w:val="00AF130E"/>
    <w:rsid w:val="00AF1671"/>
    <w:rsid w:val="00AF2C01"/>
    <w:rsid w:val="00AF3479"/>
    <w:rsid w:val="00AF3C0B"/>
    <w:rsid w:val="00AF4099"/>
    <w:rsid w:val="00AF4FA8"/>
    <w:rsid w:val="00AF6EEE"/>
    <w:rsid w:val="00AF7A59"/>
    <w:rsid w:val="00B00922"/>
    <w:rsid w:val="00B017F7"/>
    <w:rsid w:val="00B02310"/>
    <w:rsid w:val="00B02EFC"/>
    <w:rsid w:val="00B05F86"/>
    <w:rsid w:val="00B063D8"/>
    <w:rsid w:val="00B1020D"/>
    <w:rsid w:val="00B102A0"/>
    <w:rsid w:val="00B10E99"/>
    <w:rsid w:val="00B1172E"/>
    <w:rsid w:val="00B11AD3"/>
    <w:rsid w:val="00B12783"/>
    <w:rsid w:val="00B12943"/>
    <w:rsid w:val="00B12F1A"/>
    <w:rsid w:val="00B14CE2"/>
    <w:rsid w:val="00B14D22"/>
    <w:rsid w:val="00B14E5B"/>
    <w:rsid w:val="00B14FB2"/>
    <w:rsid w:val="00B15368"/>
    <w:rsid w:val="00B15E43"/>
    <w:rsid w:val="00B16648"/>
    <w:rsid w:val="00B16872"/>
    <w:rsid w:val="00B16E37"/>
    <w:rsid w:val="00B17863"/>
    <w:rsid w:val="00B217C2"/>
    <w:rsid w:val="00B22788"/>
    <w:rsid w:val="00B227EF"/>
    <w:rsid w:val="00B235D5"/>
    <w:rsid w:val="00B23BC6"/>
    <w:rsid w:val="00B2433B"/>
    <w:rsid w:val="00B2551D"/>
    <w:rsid w:val="00B25659"/>
    <w:rsid w:val="00B25ECB"/>
    <w:rsid w:val="00B305D6"/>
    <w:rsid w:val="00B30BDB"/>
    <w:rsid w:val="00B318DC"/>
    <w:rsid w:val="00B31C93"/>
    <w:rsid w:val="00B342EC"/>
    <w:rsid w:val="00B34611"/>
    <w:rsid w:val="00B34889"/>
    <w:rsid w:val="00B352DB"/>
    <w:rsid w:val="00B35DFD"/>
    <w:rsid w:val="00B36116"/>
    <w:rsid w:val="00B363A0"/>
    <w:rsid w:val="00B373DF"/>
    <w:rsid w:val="00B41FA9"/>
    <w:rsid w:val="00B429AF"/>
    <w:rsid w:val="00B42A79"/>
    <w:rsid w:val="00B4301E"/>
    <w:rsid w:val="00B436E5"/>
    <w:rsid w:val="00B44236"/>
    <w:rsid w:val="00B46CFF"/>
    <w:rsid w:val="00B46D31"/>
    <w:rsid w:val="00B47084"/>
    <w:rsid w:val="00B534DC"/>
    <w:rsid w:val="00B53A41"/>
    <w:rsid w:val="00B557FD"/>
    <w:rsid w:val="00B55C58"/>
    <w:rsid w:val="00B574C2"/>
    <w:rsid w:val="00B61D55"/>
    <w:rsid w:val="00B62AE4"/>
    <w:rsid w:val="00B63A4C"/>
    <w:rsid w:val="00B64F4E"/>
    <w:rsid w:val="00B660B2"/>
    <w:rsid w:val="00B66601"/>
    <w:rsid w:val="00B6723C"/>
    <w:rsid w:val="00B67722"/>
    <w:rsid w:val="00B67A22"/>
    <w:rsid w:val="00B700A1"/>
    <w:rsid w:val="00B70248"/>
    <w:rsid w:val="00B7101A"/>
    <w:rsid w:val="00B719A0"/>
    <w:rsid w:val="00B7211A"/>
    <w:rsid w:val="00B7360B"/>
    <w:rsid w:val="00B73C7A"/>
    <w:rsid w:val="00B74239"/>
    <w:rsid w:val="00B751CA"/>
    <w:rsid w:val="00B7542A"/>
    <w:rsid w:val="00B754C7"/>
    <w:rsid w:val="00B75F5A"/>
    <w:rsid w:val="00B7729E"/>
    <w:rsid w:val="00B774FF"/>
    <w:rsid w:val="00B806CD"/>
    <w:rsid w:val="00B83142"/>
    <w:rsid w:val="00B83442"/>
    <w:rsid w:val="00B84AF1"/>
    <w:rsid w:val="00B84B9F"/>
    <w:rsid w:val="00B85001"/>
    <w:rsid w:val="00B860A0"/>
    <w:rsid w:val="00B862FF"/>
    <w:rsid w:val="00B8642F"/>
    <w:rsid w:val="00B86636"/>
    <w:rsid w:val="00B87C29"/>
    <w:rsid w:val="00B92034"/>
    <w:rsid w:val="00B935E7"/>
    <w:rsid w:val="00B93930"/>
    <w:rsid w:val="00B93C32"/>
    <w:rsid w:val="00B942C2"/>
    <w:rsid w:val="00B965DC"/>
    <w:rsid w:val="00B969E3"/>
    <w:rsid w:val="00B97143"/>
    <w:rsid w:val="00B9736D"/>
    <w:rsid w:val="00BA0869"/>
    <w:rsid w:val="00BA0AEA"/>
    <w:rsid w:val="00BA154D"/>
    <w:rsid w:val="00BA2887"/>
    <w:rsid w:val="00BA2CAF"/>
    <w:rsid w:val="00BA3D96"/>
    <w:rsid w:val="00BA3ECC"/>
    <w:rsid w:val="00BA3F0D"/>
    <w:rsid w:val="00BA463E"/>
    <w:rsid w:val="00BA4E49"/>
    <w:rsid w:val="00BA57D1"/>
    <w:rsid w:val="00BA5968"/>
    <w:rsid w:val="00BA6625"/>
    <w:rsid w:val="00BB0A97"/>
    <w:rsid w:val="00BB1162"/>
    <w:rsid w:val="00BB17C3"/>
    <w:rsid w:val="00BB1A46"/>
    <w:rsid w:val="00BB30C9"/>
    <w:rsid w:val="00BB3B27"/>
    <w:rsid w:val="00BB3BD2"/>
    <w:rsid w:val="00BB445F"/>
    <w:rsid w:val="00BB4FBF"/>
    <w:rsid w:val="00BB6DFF"/>
    <w:rsid w:val="00BB7E60"/>
    <w:rsid w:val="00BC10E9"/>
    <w:rsid w:val="00BC24B7"/>
    <w:rsid w:val="00BC3FEE"/>
    <w:rsid w:val="00BC50C0"/>
    <w:rsid w:val="00BC6C0F"/>
    <w:rsid w:val="00BD014F"/>
    <w:rsid w:val="00BD0B38"/>
    <w:rsid w:val="00BD0FA7"/>
    <w:rsid w:val="00BD21F2"/>
    <w:rsid w:val="00BD2495"/>
    <w:rsid w:val="00BD26E3"/>
    <w:rsid w:val="00BD378C"/>
    <w:rsid w:val="00BD4921"/>
    <w:rsid w:val="00BD50D3"/>
    <w:rsid w:val="00BD5561"/>
    <w:rsid w:val="00BD7418"/>
    <w:rsid w:val="00BD7D4F"/>
    <w:rsid w:val="00BE122C"/>
    <w:rsid w:val="00BE1845"/>
    <w:rsid w:val="00BE2D00"/>
    <w:rsid w:val="00BE2EB2"/>
    <w:rsid w:val="00BE347B"/>
    <w:rsid w:val="00BE4171"/>
    <w:rsid w:val="00BE5181"/>
    <w:rsid w:val="00BE5EFE"/>
    <w:rsid w:val="00BE7899"/>
    <w:rsid w:val="00BF043E"/>
    <w:rsid w:val="00BF0D92"/>
    <w:rsid w:val="00BF1156"/>
    <w:rsid w:val="00BF13AA"/>
    <w:rsid w:val="00BF1684"/>
    <w:rsid w:val="00BF2356"/>
    <w:rsid w:val="00BF33BD"/>
    <w:rsid w:val="00BF3C20"/>
    <w:rsid w:val="00BF3DD6"/>
    <w:rsid w:val="00BF467C"/>
    <w:rsid w:val="00BF4739"/>
    <w:rsid w:val="00BF4810"/>
    <w:rsid w:val="00BF4826"/>
    <w:rsid w:val="00BF54E4"/>
    <w:rsid w:val="00BF5C18"/>
    <w:rsid w:val="00BF5C43"/>
    <w:rsid w:val="00BF67F5"/>
    <w:rsid w:val="00BF7713"/>
    <w:rsid w:val="00C00721"/>
    <w:rsid w:val="00C00802"/>
    <w:rsid w:val="00C00A00"/>
    <w:rsid w:val="00C00F7D"/>
    <w:rsid w:val="00C012D0"/>
    <w:rsid w:val="00C015DE"/>
    <w:rsid w:val="00C01FAE"/>
    <w:rsid w:val="00C025ED"/>
    <w:rsid w:val="00C02D30"/>
    <w:rsid w:val="00C038A7"/>
    <w:rsid w:val="00C04731"/>
    <w:rsid w:val="00C04F21"/>
    <w:rsid w:val="00C05251"/>
    <w:rsid w:val="00C0594F"/>
    <w:rsid w:val="00C062E5"/>
    <w:rsid w:val="00C06DC5"/>
    <w:rsid w:val="00C10021"/>
    <w:rsid w:val="00C103D5"/>
    <w:rsid w:val="00C105AB"/>
    <w:rsid w:val="00C12917"/>
    <w:rsid w:val="00C14217"/>
    <w:rsid w:val="00C1475D"/>
    <w:rsid w:val="00C15192"/>
    <w:rsid w:val="00C153FD"/>
    <w:rsid w:val="00C15FDB"/>
    <w:rsid w:val="00C16FBB"/>
    <w:rsid w:val="00C21CDA"/>
    <w:rsid w:val="00C220AE"/>
    <w:rsid w:val="00C22482"/>
    <w:rsid w:val="00C2259F"/>
    <w:rsid w:val="00C23377"/>
    <w:rsid w:val="00C23C26"/>
    <w:rsid w:val="00C243AB"/>
    <w:rsid w:val="00C24504"/>
    <w:rsid w:val="00C262FC"/>
    <w:rsid w:val="00C2665F"/>
    <w:rsid w:val="00C268C6"/>
    <w:rsid w:val="00C273B3"/>
    <w:rsid w:val="00C2773E"/>
    <w:rsid w:val="00C314D1"/>
    <w:rsid w:val="00C32029"/>
    <w:rsid w:val="00C33400"/>
    <w:rsid w:val="00C34067"/>
    <w:rsid w:val="00C345A3"/>
    <w:rsid w:val="00C34A08"/>
    <w:rsid w:val="00C34DF3"/>
    <w:rsid w:val="00C34DFF"/>
    <w:rsid w:val="00C355C0"/>
    <w:rsid w:val="00C3598C"/>
    <w:rsid w:val="00C35EA9"/>
    <w:rsid w:val="00C362D4"/>
    <w:rsid w:val="00C36EC5"/>
    <w:rsid w:val="00C40843"/>
    <w:rsid w:val="00C40C4B"/>
    <w:rsid w:val="00C42D66"/>
    <w:rsid w:val="00C44633"/>
    <w:rsid w:val="00C453D9"/>
    <w:rsid w:val="00C457B2"/>
    <w:rsid w:val="00C45EE6"/>
    <w:rsid w:val="00C46373"/>
    <w:rsid w:val="00C46912"/>
    <w:rsid w:val="00C46D9B"/>
    <w:rsid w:val="00C46F44"/>
    <w:rsid w:val="00C5162B"/>
    <w:rsid w:val="00C568A3"/>
    <w:rsid w:val="00C57539"/>
    <w:rsid w:val="00C5759C"/>
    <w:rsid w:val="00C5770B"/>
    <w:rsid w:val="00C600F1"/>
    <w:rsid w:val="00C607AF"/>
    <w:rsid w:val="00C60C12"/>
    <w:rsid w:val="00C61915"/>
    <w:rsid w:val="00C634FC"/>
    <w:rsid w:val="00C64536"/>
    <w:rsid w:val="00C64F8E"/>
    <w:rsid w:val="00C65961"/>
    <w:rsid w:val="00C65F2C"/>
    <w:rsid w:val="00C668EB"/>
    <w:rsid w:val="00C70007"/>
    <w:rsid w:val="00C702A9"/>
    <w:rsid w:val="00C707D8"/>
    <w:rsid w:val="00C70F37"/>
    <w:rsid w:val="00C726D8"/>
    <w:rsid w:val="00C72E08"/>
    <w:rsid w:val="00C72F44"/>
    <w:rsid w:val="00C72FF1"/>
    <w:rsid w:val="00C74C25"/>
    <w:rsid w:val="00C75638"/>
    <w:rsid w:val="00C76E5A"/>
    <w:rsid w:val="00C77596"/>
    <w:rsid w:val="00C77D17"/>
    <w:rsid w:val="00C81198"/>
    <w:rsid w:val="00C820FC"/>
    <w:rsid w:val="00C82508"/>
    <w:rsid w:val="00C83319"/>
    <w:rsid w:val="00C839D1"/>
    <w:rsid w:val="00C8457E"/>
    <w:rsid w:val="00C845EA"/>
    <w:rsid w:val="00C8686D"/>
    <w:rsid w:val="00C86D4C"/>
    <w:rsid w:val="00C870FB"/>
    <w:rsid w:val="00C87E2A"/>
    <w:rsid w:val="00C92573"/>
    <w:rsid w:val="00C9300C"/>
    <w:rsid w:val="00C937D6"/>
    <w:rsid w:val="00C9433F"/>
    <w:rsid w:val="00C963F1"/>
    <w:rsid w:val="00C9673E"/>
    <w:rsid w:val="00C971CF"/>
    <w:rsid w:val="00C97404"/>
    <w:rsid w:val="00C975F8"/>
    <w:rsid w:val="00C97B35"/>
    <w:rsid w:val="00C97B82"/>
    <w:rsid w:val="00CA01F4"/>
    <w:rsid w:val="00CA10DF"/>
    <w:rsid w:val="00CA1726"/>
    <w:rsid w:val="00CA39CB"/>
    <w:rsid w:val="00CA4543"/>
    <w:rsid w:val="00CA5556"/>
    <w:rsid w:val="00CA5F45"/>
    <w:rsid w:val="00CA62D3"/>
    <w:rsid w:val="00CA6374"/>
    <w:rsid w:val="00CA64E8"/>
    <w:rsid w:val="00CA6624"/>
    <w:rsid w:val="00CA7F8F"/>
    <w:rsid w:val="00CB0009"/>
    <w:rsid w:val="00CB04AF"/>
    <w:rsid w:val="00CB0627"/>
    <w:rsid w:val="00CB3AD6"/>
    <w:rsid w:val="00CB41B5"/>
    <w:rsid w:val="00CB42EB"/>
    <w:rsid w:val="00CB70FF"/>
    <w:rsid w:val="00CB7D6D"/>
    <w:rsid w:val="00CC24C6"/>
    <w:rsid w:val="00CC2A02"/>
    <w:rsid w:val="00CC3962"/>
    <w:rsid w:val="00CC41D9"/>
    <w:rsid w:val="00CC4A1E"/>
    <w:rsid w:val="00CD04A5"/>
    <w:rsid w:val="00CD07C8"/>
    <w:rsid w:val="00CD0E3D"/>
    <w:rsid w:val="00CD0EA9"/>
    <w:rsid w:val="00CD3398"/>
    <w:rsid w:val="00CD37A7"/>
    <w:rsid w:val="00CD41B8"/>
    <w:rsid w:val="00CD4604"/>
    <w:rsid w:val="00CD5673"/>
    <w:rsid w:val="00CD5B68"/>
    <w:rsid w:val="00CE019D"/>
    <w:rsid w:val="00CE0F4B"/>
    <w:rsid w:val="00CE1743"/>
    <w:rsid w:val="00CE1786"/>
    <w:rsid w:val="00CE2971"/>
    <w:rsid w:val="00CE2BB8"/>
    <w:rsid w:val="00CE2BE1"/>
    <w:rsid w:val="00CE4AA8"/>
    <w:rsid w:val="00CE5200"/>
    <w:rsid w:val="00CE5464"/>
    <w:rsid w:val="00CE55F3"/>
    <w:rsid w:val="00CE574E"/>
    <w:rsid w:val="00CE5B80"/>
    <w:rsid w:val="00CE6997"/>
    <w:rsid w:val="00CE6B3A"/>
    <w:rsid w:val="00CE7E69"/>
    <w:rsid w:val="00CF141D"/>
    <w:rsid w:val="00CF162D"/>
    <w:rsid w:val="00CF1CA9"/>
    <w:rsid w:val="00CF2E02"/>
    <w:rsid w:val="00CF3BF5"/>
    <w:rsid w:val="00CF4CC2"/>
    <w:rsid w:val="00CF5198"/>
    <w:rsid w:val="00CF6510"/>
    <w:rsid w:val="00CF65B9"/>
    <w:rsid w:val="00D008F4"/>
    <w:rsid w:val="00D00EC7"/>
    <w:rsid w:val="00D035E5"/>
    <w:rsid w:val="00D04CBB"/>
    <w:rsid w:val="00D05BA9"/>
    <w:rsid w:val="00D0650D"/>
    <w:rsid w:val="00D07047"/>
    <w:rsid w:val="00D07317"/>
    <w:rsid w:val="00D07C79"/>
    <w:rsid w:val="00D10D8A"/>
    <w:rsid w:val="00D10DBB"/>
    <w:rsid w:val="00D10ED7"/>
    <w:rsid w:val="00D132AF"/>
    <w:rsid w:val="00D13931"/>
    <w:rsid w:val="00D15EFF"/>
    <w:rsid w:val="00D17B8E"/>
    <w:rsid w:val="00D20BAE"/>
    <w:rsid w:val="00D21364"/>
    <w:rsid w:val="00D21A5E"/>
    <w:rsid w:val="00D24F34"/>
    <w:rsid w:val="00D25661"/>
    <w:rsid w:val="00D2682A"/>
    <w:rsid w:val="00D32828"/>
    <w:rsid w:val="00D32B90"/>
    <w:rsid w:val="00D339D2"/>
    <w:rsid w:val="00D34ABE"/>
    <w:rsid w:val="00D35ABE"/>
    <w:rsid w:val="00D36579"/>
    <w:rsid w:val="00D371EE"/>
    <w:rsid w:val="00D37588"/>
    <w:rsid w:val="00D40AF3"/>
    <w:rsid w:val="00D4100E"/>
    <w:rsid w:val="00D415F4"/>
    <w:rsid w:val="00D41E07"/>
    <w:rsid w:val="00D41F2A"/>
    <w:rsid w:val="00D41FC7"/>
    <w:rsid w:val="00D42E24"/>
    <w:rsid w:val="00D43B97"/>
    <w:rsid w:val="00D44641"/>
    <w:rsid w:val="00D45C40"/>
    <w:rsid w:val="00D460E3"/>
    <w:rsid w:val="00D47011"/>
    <w:rsid w:val="00D47916"/>
    <w:rsid w:val="00D47B5F"/>
    <w:rsid w:val="00D47E81"/>
    <w:rsid w:val="00D5001B"/>
    <w:rsid w:val="00D50551"/>
    <w:rsid w:val="00D50D0A"/>
    <w:rsid w:val="00D50F21"/>
    <w:rsid w:val="00D510DF"/>
    <w:rsid w:val="00D5148B"/>
    <w:rsid w:val="00D51982"/>
    <w:rsid w:val="00D51BDB"/>
    <w:rsid w:val="00D51D0C"/>
    <w:rsid w:val="00D533D5"/>
    <w:rsid w:val="00D53D88"/>
    <w:rsid w:val="00D549B2"/>
    <w:rsid w:val="00D54D06"/>
    <w:rsid w:val="00D54D6B"/>
    <w:rsid w:val="00D57098"/>
    <w:rsid w:val="00D602E0"/>
    <w:rsid w:val="00D605E0"/>
    <w:rsid w:val="00D609F5"/>
    <w:rsid w:val="00D62A19"/>
    <w:rsid w:val="00D6371C"/>
    <w:rsid w:val="00D64235"/>
    <w:rsid w:val="00D650BB"/>
    <w:rsid w:val="00D657CB"/>
    <w:rsid w:val="00D66724"/>
    <w:rsid w:val="00D66A92"/>
    <w:rsid w:val="00D67856"/>
    <w:rsid w:val="00D704E2"/>
    <w:rsid w:val="00D71910"/>
    <w:rsid w:val="00D73525"/>
    <w:rsid w:val="00D769D5"/>
    <w:rsid w:val="00D804AF"/>
    <w:rsid w:val="00D80970"/>
    <w:rsid w:val="00D817E7"/>
    <w:rsid w:val="00D82005"/>
    <w:rsid w:val="00D82249"/>
    <w:rsid w:val="00D83923"/>
    <w:rsid w:val="00D85C23"/>
    <w:rsid w:val="00D86845"/>
    <w:rsid w:val="00D86E20"/>
    <w:rsid w:val="00D872CB"/>
    <w:rsid w:val="00D875DA"/>
    <w:rsid w:val="00D87CD9"/>
    <w:rsid w:val="00D87E8C"/>
    <w:rsid w:val="00D90E10"/>
    <w:rsid w:val="00D92051"/>
    <w:rsid w:val="00D94751"/>
    <w:rsid w:val="00D951C0"/>
    <w:rsid w:val="00D956B5"/>
    <w:rsid w:val="00D966E0"/>
    <w:rsid w:val="00D968E4"/>
    <w:rsid w:val="00D96970"/>
    <w:rsid w:val="00D96B8A"/>
    <w:rsid w:val="00D96C55"/>
    <w:rsid w:val="00D96DD9"/>
    <w:rsid w:val="00D97494"/>
    <w:rsid w:val="00DA096A"/>
    <w:rsid w:val="00DA0F17"/>
    <w:rsid w:val="00DA19BE"/>
    <w:rsid w:val="00DA382D"/>
    <w:rsid w:val="00DA40C1"/>
    <w:rsid w:val="00DA4DF6"/>
    <w:rsid w:val="00DA4FA3"/>
    <w:rsid w:val="00DA5541"/>
    <w:rsid w:val="00DA5D57"/>
    <w:rsid w:val="00DA735E"/>
    <w:rsid w:val="00DA7612"/>
    <w:rsid w:val="00DA7FE0"/>
    <w:rsid w:val="00DB1AA7"/>
    <w:rsid w:val="00DB1E91"/>
    <w:rsid w:val="00DB3C2A"/>
    <w:rsid w:val="00DB4A94"/>
    <w:rsid w:val="00DB552D"/>
    <w:rsid w:val="00DB5920"/>
    <w:rsid w:val="00DB5A5F"/>
    <w:rsid w:val="00DB7314"/>
    <w:rsid w:val="00DC0385"/>
    <w:rsid w:val="00DC0E97"/>
    <w:rsid w:val="00DC1878"/>
    <w:rsid w:val="00DC203D"/>
    <w:rsid w:val="00DC61E3"/>
    <w:rsid w:val="00DC6710"/>
    <w:rsid w:val="00DC73F7"/>
    <w:rsid w:val="00DC75CB"/>
    <w:rsid w:val="00DC7FCC"/>
    <w:rsid w:val="00DD04D8"/>
    <w:rsid w:val="00DD0C45"/>
    <w:rsid w:val="00DD0CA5"/>
    <w:rsid w:val="00DD0E9B"/>
    <w:rsid w:val="00DD2D4C"/>
    <w:rsid w:val="00DD35FE"/>
    <w:rsid w:val="00DD52EE"/>
    <w:rsid w:val="00DD59D1"/>
    <w:rsid w:val="00DD5CEF"/>
    <w:rsid w:val="00DD706D"/>
    <w:rsid w:val="00DD72A3"/>
    <w:rsid w:val="00DD7849"/>
    <w:rsid w:val="00DD7BA9"/>
    <w:rsid w:val="00DD7E2D"/>
    <w:rsid w:val="00DE0303"/>
    <w:rsid w:val="00DE124A"/>
    <w:rsid w:val="00DE1303"/>
    <w:rsid w:val="00DE2EA9"/>
    <w:rsid w:val="00DE3E65"/>
    <w:rsid w:val="00DE536A"/>
    <w:rsid w:val="00DE54AB"/>
    <w:rsid w:val="00DE5CA1"/>
    <w:rsid w:val="00DE5DD2"/>
    <w:rsid w:val="00DE6A8A"/>
    <w:rsid w:val="00DE6E5C"/>
    <w:rsid w:val="00DE7823"/>
    <w:rsid w:val="00DE7ED5"/>
    <w:rsid w:val="00DF0405"/>
    <w:rsid w:val="00DF0D51"/>
    <w:rsid w:val="00DF11A4"/>
    <w:rsid w:val="00DF1224"/>
    <w:rsid w:val="00DF1459"/>
    <w:rsid w:val="00DF198B"/>
    <w:rsid w:val="00DF27D9"/>
    <w:rsid w:val="00DF2ED4"/>
    <w:rsid w:val="00DF2FE1"/>
    <w:rsid w:val="00DF374F"/>
    <w:rsid w:val="00DF451D"/>
    <w:rsid w:val="00DF4E8A"/>
    <w:rsid w:val="00DF6087"/>
    <w:rsid w:val="00DF6315"/>
    <w:rsid w:val="00DF6A9A"/>
    <w:rsid w:val="00DF7362"/>
    <w:rsid w:val="00DF7760"/>
    <w:rsid w:val="00DF7BBD"/>
    <w:rsid w:val="00DF7C68"/>
    <w:rsid w:val="00E01C94"/>
    <w:rsid w:val="00E02577"/>
    <w:rsid w:val="00E02D56"/>
    <w:rsid w:val="00E03E4A"/>
    <w:rsid w:val="00E04D9A"/>
    <w:rsid w:val="00E053B3"/>
    <w:rsid w:val="00E063E1"/>
    <w:rsid w:val="00E07CD8"/>
    <w:rsid w:val="00E104FE"/>
    <w:rsid w:val="00E10FEF"/>
    <w:rsid w:val="00E12E9A"/>
    <w:rsid w:val="00E13063"/>
    <w:rsid w:val="00E13E11"/>
    <w:rsid w:val="00E13E49"/>
    <w:rsid w:val="00E14B23"/>
    <w:rsid w:val="00E153F1"/>
    <w:rsid w:val="00E17080"/>
    <w:rsid w:val="00E17829"/>
    <w:rsid w:val="00E17F27"/>
    <w:rsid w:val="00E2005C"/>
    <w:rsid w:val="00E203A7"/>
    <w:rsid w:val="00E20512"/>
    <w:rsid w:val="00E20F37"/>
    <w:rsid w:val="00E22BC2"/>
    <w:rsid w:val="00E23095"/>
    <w:rsid w:val="00E23459"/>
    <w:rsid w:val="00E23962"/>
    <w:rsid w:val="00E23D30"/>
    <w:rsid w:val="00E25BEA"/>
    <w:rsid w:val="00E263E6"/>
    <w:rsid w:val="00E276C4"/>
    <w:rsid w:val="00E277D6"/>
    <w:rsid w:val="00E27E03"/>
    <w:rsid w:val="00E30C41"/>
    <w:rsid w:val="00E32ED3"/>
    <w:rsid w:val="00E34D81"/>
    <w:rsid w:val="00E352A0"/>
    <w:rsid w:val="00E355D3"/>
    <w:rsid w:val="00E35FF0"/>
    <w:rsid w:val="00E3729F"/>
    <w:rsid w:val="00E40D7E"/>
    <w:rsid w:val="00E42CC9"/>
    <w:rsid w:val="00E433A7"/>
    <w:rsid w:val="00E4396F"/>
    <w:rsid w:val="00E43E01"/>
    <w:rsid w:val="00E43F30"/>
    <w:rsid w:val="00E4576E"/>
    <w:rsid w:val="00E5037E"/>
    <w:rsid w:val="00E5063A"/>
    <w:rsid w:val="00E50AB6"/>
    <w:rsid w:val="00E517D4"/>
    <w:rsid w:val="00E522FF"/>
    <w:rsid w:val="00E52CC6"/>
    <w:rsid w:val="00E537F7"/>
    <w:rsid w:val="00E54190"/>
    <w:rsid w:val="00E5558E"/>
    <w:rsid w:val="00E5604E"/>
    <w:rsid w:val="00E560FE"/>
    <w:rsid w:val="00E56842"/>
    <w:rsid w:val="00E56A2D"/>
    <w:rsid w:val="00E571F2"/>
    <w:rsid w:val="00E57EBF"/>
    <w:rsid w:val="00E603F2"/>
    <w:rsid w:val="00E60A22"/>
    <w:rsid w:val="00E6168A"/>
    <w:rsid w:val="00E62A3B"/>
    <w:rsid w:val="00E62D71"/>
    <w:rsid w:val="00E63C28"/>
    <w:rsid w:val="00E647CA"/>
    <w:rsid w:val="00E64F71"/>
    <w:rsid w:val="00E6506D"/>
    <w:rsid w:val="00E67784"/>
    <w:rsid w:val="00E70664"/>
    <w:rsid w:val="00E70C0D"/>
    <w:rsid w:val="00E712BF"/>
    <w:rsid w:val="00E715D9"/>
    <w:rsid w:val="00E7193E"/>
    <w:rsid w:val="00E721F5"/>
    <w:rsid w:val="00E7269C"/>
    <w:rsid w:val="00E7290F"/>
    <w:rsid w:val="00E72D6D"/>
    <w:rsid w:val="00E7342A"/>
    <w:rsid w:val="00E73549"/>
    <w:rsid w:val="00E752E3"/>
    <w:rsid w:val="00E7676C"/>
    <w:rsid w:val="00E76862"/>
    <w:rsid w:val="00E76912"/>
    <w:rsid w:val="00E80181"/>
    <w:rsid w:val="00E82DA8"/>
    <w:rsid w:val="00E8352E"/>
    <w:rsid w:val="00E83727"/>
    <w:rsid w:val="00E83BEF"/>
    <w:rsid w:val="00E83CF5"/>
    <w:rsid w:val="00E84822"/>
    <w:rsid w:val="00E84AD2"/>
    <w:rsid w:val="00E853E2"/>
    <w:rsid w:val="00E853FE"/>
    <w:rsid w:val="00E85484"/>
    <w:rsid w:val="00E855BC"/>
    <w:rsid w:val="00E85C98"/>
    <w:rsid w:val="00E86572"/>
    <w:rsid w:val="00E904D7"/>
    <w:rsid w:val="00E91289"/>
    <w:rsid w:val="00E91810"/>
    <w:rsid w:val="00E92831"/>
    <w:rsid w:val="00E93951"/>
    <w:rsid w:val="00E94891"/>
    <w:rsid w:val="00E94AF4"/>
    <w:rsid w:val="00E94F4D"/>
    <w:rsid w:val="00E953DF"/>
    <w:rsid w:val="00E95E84"/>
    <w:rsid w:val="00E96730"/>
    <w:rsid w:val="00E96E30"/>
    <w:rsid w:val="00E96F61"/>
    <w:rsid w:val="00E974DB"/>
    <w:rsid w:val="00E97845"/>
    <w:rsid w:val="00EA1EC6"/>
    <w:rsid w:val="00EA3D1E"/>
    <w:rsid w:val="00EA44A6"/>
    <w:rsid w:val="00EA5322"/>
    <w:rsid w:val="00EA6BCD"/>
    <w:rsid w:val="00EB0176"/>
    <w:rsid w:val="00EB1273"/>
    <w:rsid w:val="00EB16F2"/>
    <w:rsid w:val="00EB2FAE"/>
    <w:rsid w:val="00EB3103"/>
    <w:rsid w:val="00EB34B2"/>
    <w:rsid w:val="00EB374D"/>
    <w:rsid w:val="00EB4268"/>
    <w:rsid w:val="00EB48A3"/>
    <w:rsid w:val="00EB4AF5"/>
    <w:rsid w:val="00EB5382"/>
    <w:rsid w:val="00EB5A07"/>
    <w:rsid w:val="00EB6528"/>
    <w:rsid w:val="00EB6B3E"/>
    <w:rsid w:val="00EC3596"/>
    <w:rsid w:val="00EC393A"/>
    <w:rsid w:val="00EC3B11"/>
    <w:rsid w:val="00EC3CAB"/>
    <w:rsid w:val="00EC4AEA"/>
    <w:rsid w:val="00EC4D79"/>
    <w:rsid w:val="00EC4F1E"/>
    <w:rsid w:val="00EC584A"/>
    <w:rsid w:val="00EC6516"/>
    <w:rsid w:val="00EC724A"/>
    <w:rsid w:val="00ED017C"/>
    <w:rsid w:val="00ED0C77"/>
    <w:rsid w:val="00ED0F99"/>
    <w:rsid w:val="00ED2626"/>
    <w:rsid w:val="00ED2CF4"/>
    <w:rsid w:val="00ED3BBE"/>
    <w:rsid w:val="00ED414F"/>
    <w:rsid w:val="00ED41CE"/>
    <w:rsid w:val="00ED65DD"/>
    <w:rsid w:val="00EE02F5"/>
    <w:rsid w:val="00EE0CBF"/>
    <w:rsid w:val="00EE0FA1"/>
    <w:rsid w:val="00EE15EF"/>
    <w:rsid w:val="00EE178A"/>
    <w:rsid w:val="00EE1CE1"/>
    <w:rsid w:val="00EE251D"/>
    <w:rsid w:val="00EE255A"/>
    <w:rsid w:val="00EE3CCF"/>
    <w:rsid w:val="00EE3D95"/>
    <w:rsid w:val="00EE3E04"/>
    <w:rsid w:val="00EE4184"/>
    <w:rsid w:val="00EE42BD"/>
    <w:rsid w:val="00EE50BE"/>
    <w:rsid w:val="00EE6056"/>
    <w:rsid w:val="00EE640E"/>
    <w:rsid w:val="00EE644C"/>
    <w:rsid w:val="00EE754B"/>
    <w:rsid w:val="00EE7D33"/>
    <w:rsid w:val="00EF0C63"/>
    <w:rsid w:val="00EF191B"/>
    <w:rsid w:val="00EF1A35"/>
    <w:rsid w:val="00EF37BD"/>
    <w:rsid w:val="00EF39AA"/>
    <w:rsid w:val="00EF5286"/>
    <w:rsid w:val="00EF5B68"/>
    <w:rsid w:val="00EF629E"/>
    <w:rsid w:val="00EF6B11"/>
    <w:rsid w:val="00EF71C7"/>
    <w:rsid w:val="00EF741C"/>
    <w:rsid w:val="00F006C3"/>
    <w:rsid w:val="00F007B6"/>
    <w:rsid w:val="00F0111F"/>
    <w:rsid w:val="00F0192B"/>
    <w:rsid w:val="00F021AB"/>
    <w:rsid w:val="00F03037"/>
    <w:rsid w:val="00F03259"/>
    <w:rsid w:val="00F048C1"/>
    <w:rsid w:val="00F058CE"/>
    <w:rsid w:val="00F05A01"/>
    <w:rsid w:val="00F05F05"/>
    <w:rsid w:val="00F066EB"/>
    <w:rsid w:val="00F076CB"/>
    <w:rsid w:val="00F07984"/>
    <w:rsid w:val="00F10716"/>
    <w:rsid w:val="00F11960"/>
    <w:rsid w:val="00F133D8"/>
    <w:rsid w:val="00F137DB"/>
    <w:rsid w:val="00F13FCC"/>
    <w:rsid w:val="00F143F5"/>
    <w:rsid w:val="00F1449B"/>
    <w:rsid w:val="00F15609"/>
    <w:rsid w:val="00F15853"/>
    <w:rsid w:val="00F15BC3"/>
    <w:rsid w:val="00F164BE"/>
    <w:rsid w:val="00F16CAF"/>
    <w:rsid w:val="00F175F1"/>
    <w:rsid w:val="00F1785E"/>
    <w:rsid w:val="00F17E3D"/>
    <w:rsid w:val="00F20E4A"/>
    <w:rsid w:val="00F2217C"/>
    <w:rsid w:val="00F23A1F"/>
    <w:rsid w:val="00F240AE"/>
    <w:rsid w:val="00F240C7"/>
    <w:rsid w:val="00F2495D"/>
    <w:rsid w:val="00F24B6A"/>
    <w:rsid w:val="00F26A4F"/>
    <w:rsid w:val="00F26D12"/>
    <w:rsid w:val="00F30668"/>
    <w:rsid w:val="00F30C85"/>
    <w:rsid w:val="00F313B0"/>
    <w:rsid w:val="00F320B5"/>
    <w:rsid w:val="00F323CE"/>
    <w:rsid w:val="00F3299A"/>
    <w:rsid w:val="00F32D83"/>
    <w:rsid w:val="00F33DDF"/>
    <w:rsid w:val="00F33EE1"/>
    <w:rsid w:val="00F346ED"/>
    <w:rsid w:val="00F34DE8"/>
    <w:rsid w:val="00F36639"/>
    <w:rsid w:val="00F36B73"/>
    <w:rsid w:val="00F377F0"/>
    <w:rsid w:val="00F37800"/>
    <w:rsid w:val="00F37A6E"/>
    <w:rsid w:val="00F4074C"/>
    <w:rsid w:val="00F408C7"/>
    <w:rsid w:val="00F40A11"/>
    <w:rsid w:val="00F42ACF"/>
    <w:rsid w:val="00F430C9"/>
    <w:rsid w:val="00F438A1"/>
    <w:rsid w:val="00F440BE"/>
    <w:rsid w:val="00F442CE"/>
    <w:rsid w:val="00F462E4"/>
    <w:rsid w:val="00F46CBE"/>
    <w:rsid w:val="00F5179E"/>
    <w:rsid w:val="00F52405"/>
    <w:rsid w:val="00F52A1B"/>
    <w:rsid w:val="00F539D9"/>
    <w:rsid w:val="00F54A73"/>
    <w:rsid w:val="00F55A5A"/>
    <w:rsid w:val="00F55B40"/>
    <w:rsid w:val="00F55B8B"/>
    <w:rsid w:val="00F56593"/>
    <w:rsid w:val="00F56C34"/>
    <w:rsid w:val="00F61821"/>
    <w:rsid w:val="00F61D58"/>
    <w:rsid w:val="00F61FEC"/>
    <w:rsid w:val="00F62168"/>
    <w:rsid w:val="00F627D4"/>
    <w:rsid w:val="00F62956"/>
    <w:rsid w:val="00F62EF7"/>
    <w:rsid w:val="00F649FB"/>
    <w:rsid w:val="00F64B5E"/>
    <w:rsid w:val="00F65F89"/>
    <w:rsid w:val="00F6748A"/>
    <w:rsid w:val="00F67E90"/>
    <w:rsid w:val="00F70330"/>
    <w:rsid w:val="00F7155D"/>
    <w:rsid w:val="00F725AD"/>
    <w:rsid w:val="00F72A14"/>
    <w:rsid w:val="00F73DD2"/>
    <w:rsid w:val="00F7450E"/>
    <w:rsid w:val="00F74FAC"/>
    <w:rsid w:val="00F76054"/>
    <w:rsid w:val="00F76739"/>
    <w:rsid w:val="00F7767F"/>
    <w:rsid w:val="00F7778E"/>
    <w:rsid w:val="00F8034B"/>
    <w:rsid w:val="00F82A9E"/>
    <w:rsid w:val="00F82DA1"/>
    <w:rsid w:val="00F83018"/>
    <w:rsid w:val="00F8443C"/>
    <w:rsid w:val="00F84C0C"/>
    <w:rsid w:val="00F86D23"/>
    <w:rsid w:val="00F873ED"/>
    <w:rsid w:val="00F87915"/>
    <w:rsid w:val="00F87D38"/>
    <w:rsid w:val="00F90584"/>
    <w:rsid w:val="00F90765"/>
    <w:rsid w:val="00F91114"/>
    <w:rsid w:val="00F91371"/>
    <w:rsid w:val="00F91969"/>
    <w:rsid w:val="00F9373D"/>
    <w:rsid w:val="00F937E6"/>
    <w:rsid w:val="00F943F3"/>
    <w:rsid w:val="00F969AD"/>
    <w:rsid w:val="00F96B3C"/>
    <w:rsid w:val="00FA0276"/>
    <w:rsid w:val="00FA22D8"/>
    <w:rsid w:val="00FA27EC"/>
    <w:rsid w:val="00FA3E4F"/>
    <w:rsid w:val="00FA62A9"/>
    <w:rsid w:val="00FA64AF"/>
    <w:rsid w:val="00FA6BF8"/>
    <w:rsid w:val="00FA740E"/>
    <w:rsid w:val="00FB14F7"/>
    <w:rsid w:val="00FB1E25"/>
    <w:rsid w:val="00FB25D2"/>
    <w:rsid w:val="00FB392D"/>
    <w:rsid w:val="00FB4DCF"/>
    <w:rsid w:val="00FB67C6"/>
    <w:rsid w:val="00FB6FF1"/>
    <w:rsid w:val="00FB778B"/>
    <w:rsid w:val="00FB77B2"/>
    <w:rsid w:val="00FB7C03"/>
    <w:rsid w:val="00FC02E1"/>
    <w:rsid w:val="00FC07C4"/>
    <w:rsid w:val="00FC0B40"/>
    <w:rsid w:val="00FC0CA4"/>
    <w:rsid w:val="00FC1F37"/>
    <w:rsid w:val="00FC2575"/>
    <w:rsid w:val="00FC3777"/>
    <w:rsid w:val="00FC3B1F"/>
    <w:rsid w:val="00FC4266"/>
    <w:rsid w:val="00FC4B25"/>
    <w:rsid w:val="00FC7248"/>
    <w:rsid w:val="00FC7D32"/>
    <w:rsid w:val="00FD0BA9"/>
    <w:rsid w:val="00FD0D6B"/>
    <w:rsid w:val="00FD11A7"/>
    <w:rsid w:val="00FD1F19"/>
    <w:rsid w:val="00FD28DB"/>
    <w:rsid w:val="00FD4214"/>
    <w:rsid w:val="00FD424E"/>
    <w:rsid w:val="00FD4313"/>
    <w:rsid w:val="00FD45FB"/>
    <w:rsid w:val="00FD52EC"/>
    <w:rsid w:val="00FD6184"/>
    <w:rsid w:val="00FD67D1"/>
    <w:rsid w:val="00FD6E9C"/>
    <w:rsid w:val="00FD73EE"/>
    <w:rsid w:val="00FE194D"/>
    <w:rsid w:val="00FE1A07"/>
    <w:rsid w:val="00FE1A30"/>
    <w:rsid w:val="00FE1AE1"/>
    <w:rsid w:val="00FE1F8B"/>
    <w:rsid w:val="00FE214C"/>
    <w:rsid w:val="00FE237D"/>
    <w:rsid w:val="00FE499A"/>
    <w:rsid w:val="00FE502C"/>
    <w:rsid w:val="00FE525B"/>
    <w:rsid w:val="00FE547F"/>
    <w:rsid w:val="00FE57C8"/>
    <w:rsid w:val="00FE6827"/>
    <w:rsid w:val="00FE7988"/>
    <w:rsid w:val="00FE7E89"/>
    <w:rsid w:val="00FF091C"/>
    <w:rsid w:val="00FF18D5"/>
    <w:rsid w:val="00FF2C5A"/>
    <w:rsid w:val="00FF31D0"/>
    <w:rsid w:val="00FF3491"/>
    <w:rsid w:val="00FF499A"/>
    <w:rsid w:val="00FF4FDD"/>
    <w:rsid w:val="00FF51DB"/>
    <w:rsid w:val="00FF6517"/>
    <w:rsid w:val="34904175"/>
    <w:rsid w:val="35F9304A"/>
    <w:rsid w:val="4E6F0DB3"/>
    <w:rsid w:val="54482775"/>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3000DB"/>
  <w15:docId w15:val="{6E22C84D-55D4-4679-8C4C-3B7D73EC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ind w:right="-144"/>
      <w:jc w:val="both"/>
      <w:outlineLvl w:val="1"/>
    </w:pPr>
    <w:rPr>
      <w:rFonts w:asciiTheme="majorHAnsi" w:eastAsiaTheme="majorEastAsia" w:hAnsiTheme="majorHAnsi" w:cstheme="majorBidi"/>
      <w:b/>
      <w:bCs/>
      <w:color w:val="000000" w:themeColor="text1"/>
      <w:sz w:val="28"/>
      <w:szCs w:val="28"/>
      <w:lang w:val="el-GR"/>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link w:val="4GCharCharChar"/>
    <w:uiPriority w:val="99"/>
    <w:unhideWhenUsed/>
    <w:qFormat/>
    <w:rPr>
      <w:vertAlign w:val="superscript"/>
    </w:rPr>
  </w:style>
  <w:style w:type="paragraph" w:customStyle="1" w:styleId="4GCharCharChar">
    <w:name w:val="4_G Char Char Char"/>
    <w:basedOn w:val="Normal"/>
    <w:link w:val="FootnoteReference"/>
    <w:uiPriority w:val="99"/>
    <w:pPr>
      <w:spacing w:after="0" w:line="240" w:lineRule="exact"/>
      <w:jc w:val="both"/>
    </w:pPr>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pPr>
      <w:spacing w:before="100" w:beforeAutospacing="1" w:after="100" w:afterAutospacing="1" w:line="240" w:lineRule="auto"/>
      <w:jc w:val="both"/>
    </w:pPr>
    <w:rPr>
      <w:rFonts w:ascii="Calibri" w:eastAsia="Times New Roman" w:hAnsi="Calibri" w:cs="Times New Roman"/>
      <w:sz w:val="24"/>
      <w:szCs w:val="24"/>
    </w:rPr>
  </w:style>
  <w:style w:type="character" w:styleId="PageNumber">
    <w:name w:val="page number"/>
    <w:basedOn w:val="DefaultParagraphFont"/>
    <w:uiPriority w:val="99"/>
    <w:semiHidden/>
    <w:unhideWhenUsed/>
  </w:style>
  <w:style w:type="character" w:styleId="Strong">
    <w:name w:val="Strong"/>
    <w:uiPriority w:val="22"/>
    <w:qFormat/>
    <w:rPr>
      <w:b/>
      <w:bCs/>
    </w:rPr>
  </w:style>
  <w:style w:type="paragraph" w:styleId="Subtitle">
    <w:name w:val="Subtitle"/>
    <w:basedOn w:val="Normal"/>
    <w:next w:val="Normal"/>
    <w:link w:val="SubtitleChar"/>
    <w:qFormat/>
    <w:pPr>
      <w:spacing w:line="276" w:lineRule="auto"/>
      <w:jc w:val="both"/>
    </w:pPr>
    <w:rPr>
      <w:rFonts w:eastAsiaTheme="minorEastAsia"/>
      <w:color w:val="595959" w:themeColor="text1" w:themeTint="A6"/>
      <w:spacing w:val="15"/>
      <w:lang w:val="el-GR" w:eastAsia="el-GR"/>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pPr>
      <w:spacing w:after="0"/>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uiPriority w:val="39"/>
    <w:unhideWhenUsed/>
    <w:pPr>
      <w:tabs>
        <w:tab w:val="left" w:pos="440"/>
        <w:tab w:val="right" w:leader="dot" w:pos="9203"/>
      </w:tabs>
      <w:spacing w:after="100"/>
      <w:ind w:left="426" w:hanging="426"/>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rPr>
      <w:rFonts w:eastAsiaTheme="minorEastAsia" w:cs="Times New Roman"/>
      <w:lang w:val="el-GR" w:eastAsia="el-GR"/>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z w:val="28"/>
      <w:szCs w:val="28"/>
      <w:lang w:val="el-GR"/>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character" w:styleId="PlaceholderText">
    <w:name w:val="Placeholder Text"/>
    <w:basedOn w:val="DefaultParagraphFont"/>
    <w:uiPriority w:val="99"/>
    <w:semiHidden/>
    <w:rPr>
      <w:color w:val="808080"/>
    </w:rPr>
  </w:style>
  <w:style w:type="character" w:customStyle="1" w:styleId="FootnoteTextChar">
    <w:name w:val="Footnote Text Char"/>
    <w:basedOn w:val="DefaultParagraphFont"/>
    <w:link w:val="FootnoteText"/>
    <w:uiPriority w:val="99"/>
    <w:rPr>
      <w:sz w:val="20"/>
      <w:szCs w:val="20"/>
    </w:rPr>
  </w:style>
  <w:style w:type="character" w:customStyle="1" w:styleId="1">
    <w:name w:val="Ανεπίλυτη αναφορά1"/>
    <w:basedOn w:val="DefaultParagraphFont"/>
    <w:uiPriority w:val="99"/>
    <w:semiHidden/>
    <w:unhideWhenUsed/>
    <w:rPr>
      <w:color w:val="808080"/>
      <w:shd w:val="clear" w:color="auto" w:fill="E6E6E6"/>
    </w:rPr>
  </w:style>
  <w:style w:type="paragraph" w:styleId="ListParagraph">
    <w:name w:val="List Paragraph"/>
    <w:basedOn w:val="Normal"/>
    <w:link w:val="ListParagraphChar"/>
    <w:uiPriority w:val="34"/>
    <w:qFormat/>
    <w:pPr>
      <w:ind w:left="720"/>
      <w:contextualSpacing/>
    </w:pPr>
  </w:style>
  <w:style w:type="paragraph" w:customStyle="1" w:styleId="10">
    <w:name w:val="Επικεφαλίδα ΠΠ1"/>
    <w:basedOn w:val="Heading1"/>
    <w:next w:val="Normal"/>
    <w:uiPriority w:val="39"/>
    <w:unhideWhenUsed/>
    <w:qFormat/>
    <w:pPr>
      <w:outlineLvl w:val="9"/>
    </w:pPr>
  </w:style>
  <w:style w:type="paragraph" w:customStyle="1" w:styleId="Default">
    <w:name w:val="Default"/>
    <w:pPr>
      <w:autoSpaceDE w:val="0"/>
      <w:autoSpaceDN w:val="0"/>
      <w:adjustRightInd w:val="0"/>
    </w:pPr>
    <w:rPr>
      <w:rFonts w:ascii="Book Antiqua" w:hAnsi="Book Antiqua" w:cs="Book Antiqua"/>
      <w:color w:val="000000"/>
      <w:sz w:val="24"/>
      <w:szCs w:val="24"/>
      <w:lang w:eastAsia="en-US"/>
    </w:rPr>
  </w:style>
  <w:style w:type="character" w:customStyle="1" w:styleId="2">
    <w:name w:val="Ανεπίλυτη αναφορά2"/>
    <w:basedOn w:val="DefaultParagraphFont"/>
    <w:uiPriority w:val="99"/>
    <w:semiHidden/>
    <w:unhideWhenUsed/>
    <w:rPr>
      <w:color w:val="605E5C"/>
      <w:shd w:val="clear" w:color="auto" w:fill="E1DFDD"/>
    </w:rPr>
  </w:style>
  <w:style w:type="table" w:customStyle="1" w:styleId="2-51">
    <w:name w:val="Πίνακας 2 με πλέγμα - Έμφαση 51"/>
    <w:basedOn w:val="TableNormal"/>
    <w:uiPriority w:val="47"/>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21">
    <w:name w:val="Πίνακας 1 με ανοιχτόχρωμο πλέγμα - Έμφαση 21"/>
    <w:basedOn w:val="TableNormal"/>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11">
    <w:name w:val="Απλός πίνακας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Απλός πίνακας 51"/>
    <w:basedOn w:val="TableNormal"/>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4-61">
    <w:name w:val="Πίνακας 4 με πλέγμα - Έμφαση 61"/>
    <w:basedOn w:val="TableNormal"/>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t">
    <w:name w:val="st"/>
    <w:basedOn w:val="DefaultParagraphFont"/>
  </w:style>
  <w:style w:type="table" w:customStyle="1" w:styleId="4-41">
    <w:name w:val="Πίνακας 4 με πλέγμα - Έμφαση 41"/>
    <w:basedOn w:val="TableNormal"/>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5-21">
    <w:name w:val="Πίνακας 5 με σκούρο πλέγμα - Έμφαση 2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1-31">
    <w:name w:val="Πίνακας 1 με ανοιχτόχρωμο πλέγμα - Έμφαση 31"/>
    <w:basedOn w:val="TableNormal"/>
    <w:uiPriority w:val="46"/>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l-GR" w:eastAsia="el-GR"/>
    </w:rPr>
  </w:style>
  <w:style w:type="character" w:customStyle="1" w:styleId="smalltext">
    <w:name w:val="smalltext"/>
    <w:basedOn w:val="DefaultParagraphFont"/>
  </w:style>
  <w:style w:type="table" w:customStyle="1" w:styleId="110">
    <w:name w:val="Πίνακας 1 με ανοιχτόχρωμο πλέγμα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
    <w:name w:val="Ανεπίλυτη αναφορά3"/>
    <w:basedOn w:val="DefaultParagraphFont"/>
    <w:uiPriority w:val="99"/>
    <w:semiHidden/>
    <w:unhideWhenUsed/>
    <w:rPr>
      <w:color w:val="605E5C"/>
      <w:shd w:val="clear" w:color="auto" w:fill="E1DFDD"/>
    </w:rPr>
  </w:style>
  <w:style w:type="character" w:customStyle="1" w:styleId="tlid-translation">
    <w:name w:val="tlid-translation"/>
    <w:basedOn w:val="DefaultParagraphFont"/>
  </w:style>
  <w:style w:type="table" w:customStyle="1" w:styleId="21">
    <w:name w:val="Απλός πίνακας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2">
    <w:name w:val="Αναθεώρηση1"/>
    <w:hidden/>
    <w:uiPriority w:val="99"/>
    <w:semiHidden/>
    <w:rPr>
      <w:sz w:val="22"/>
      <w:szCs w:val="22"/>
      <w:lang w:val="en-US" w:eastAsia="en-US"/>
    </w:rPr>
  </w:style>
  <w:style w:type="character" w:customStyle="1" w:styleId="ListParagraphChar">
    <w:name w:val="List Paragraph Char"/>
    <w:basedOn w:val="DefaultParagraphFont"/>
    <w:link w:val="ListParagraph"/>
    <w:uiPriority w:val="34"/>
  </w:style>
  <w:style w:type="character" w:customStyle="1" w:styleId="SubtitleChar">
    <w:name w:val="Subtitle Char"/>
    <w:basedOn w:val="DefaultParagraphFont"/>
    <w:link w:val="Subtitle"/>
    <w:rPr>
      <w:rFonts w:eastAsiaTheme="minorEastAsia"/>
      <w:color w:val="595959" w:themeColor="text1" w:themeTint="A6"/>
      <w:spacing w:val="15"/>
      <w:lang w:val="el-GR" w:eastAsia="el-GR"/>
    </w:rPr>
  </w:style>
  <w:style w:type="paragraph" w:styleId="NoSpacing">
    <w:name w:val="No Spacing"/>
    <w:link w:val="NoSpacingChar"/>
    <w:uiPriority w:val="1"/>
    <w:qFormat/>
    <w:rPr>
      <w:rFonts w:ascii="Times New Roman" w:eastAsia="Times New Roman" w:hAnsi="Times New Roman" w:cs="Times New Roman"/>
      <w:sz w:val="22"/>
      <w:szCs w:val="22"/>
      <w:lang w:val="fr-BE" w:eastAsia="en-US"/>
    </w:rPr>
  </w:style>
  <w:style w:type="character" w:customStyle="1" w:styleId="markedcontent">
    <w:name w:val="markedcontent"/>
    <w:basedOn w:val="DefaultParagraphFont"/>
  </w:style>
  <w:style w:type="character" w:customStyle="1" w:styleId="4">
    <w:name w:val="Ανεπίλυτη αναφορά4"/>
    <w:basedOn w:val="DefaultParagraphFont"/>
    <w:uiPriority w:val="99"/>
    <w:semiHidden/>
    <w:unhideWhenUsed/>
    <w:rPr>
      <w:color w:val="605E5C"/>
      <w:shd w:val="clear" w:color="auto" w:fill="E1DFDD"/>
    </w:rPr>
  </w:style>
  <w:style w:type="character" w:customStyle="1" w:styleId="5">
    <w:name w:val="Ανεπίλυτη αναφορά5"/>
    <w:basedOn w:val="DefaultParagraphFont"/>
    <w:uiPriority w:val="99"/>
    <w:semiHidden/>
    <w:unhideWhenUsed/>
    <w:rPr>
      <w:color w:val="605E5C"/>
      <w:shd w:val="clear" w:color="auto" w:fill="E1DFDD"/>
    </w:rPr>
  </w:style>
  <w:style w:type="character" w:customStyle="1" w:styleId="pg-2ff2">
    <w:name w:val="pg-2ff2"/>
    <w:basedOn w:val="DefaultParagraphFont"/>
  </w:style>
  <w:style w:type="character" w:customStyle="1" w:styleId="a">
    <w:name w:val="_"/>
    <w:basedOn w:val="DefaultParagraphFont"/>
  </w:style>
  <w:style w:type="character" w:customStyle="1" w:styleId="pg-2ff3">
    <w:name w:val="pg-2ff3"/>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13">
    <w:name w:val="Βασικό1"/>
    <w:pPr>
      <w:spacing w:before="100" w:beforeAutospacing="1" w:after="100" w:afterAutospacing="1" w:line="256" w:lineRule="auto"/>
    </w:pPr>
    <w:rPr>
      <w:rFonts w:ascii="Aptos" w:eastAsia="Times New Roman" w:hAnsi="Aptos" w:cs="Times New Roman"/>
      <w:sz w:val="24"/>
      <w:szCs w:val="24"/>
    </w:rPr>
  </w:style>
  <w:style w:type="character" w:customStyle="1" w:styleId="hgkelc">
    <w:name w:val="hgkelc"/>
    <w:basedOn w:val="DefaultParagraphFont"/>
  </w:style>
  <w:style w:type="character" w:customStyle="1" w:styleId="hidden">
    <w:name w:val="hidden"/>
    <w:basedOn w:val="DefaultParagraphFont"/>
  </w:style>
  <w:style w:type="character" w:customStyle="1" w:styleId="y2iqfc">
    <w:name w:val="y2iqfc"/>
    <w:basedOn w:val="DefaultParagraphFont"/>
  </w:style>
  <w:style w:type="character" w:customStyle="1" w:styleId="NoSpacingChar">
    <w:name w:val="No Spacing Char"/>
    <w:basedOn w:val="DefaultParagraphFont"/>
    <w:link w:val="NoSpacing"/>
    <w:uiPriority w:val="1"/>
    <w:rPr>
      <w:rFonts w:ascii="Times New Roman" w:eastAsia="Times New Roman" w:hAnsi="Times New Roman" w:cs="Times New Roman"/>
      <w:sz w:val="22"/>
      <w:szCs w:val="22"/>
      <w:lang w:val="fr-BE" w:eastAsia="en-US"/>
    </w:rPr>
  </w:style>
  <w:style w:type="table" w:customStyle="1" w:styleId="TableGridLight1">
    <w:name w:val="Table Grid Light1"/>
    <w:basedOn w:val="TableNormal"/>
    <w:uiPriority w:val="40"/>
    <w:rPr>
      <w:kern w:val="2"/>
      <w:sz w:val="22"/>
      <w:szCs w:val="22"/>
      <w:lang w:val="de-DE"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9C4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www.paratiritirioanapirias.gr/" TargetMode="External"/><Relationship Id="rId14" Type="http://schemas.openxmlformats.org/officeDocument/2006/relationships/chart" Target="charts/chart4.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L/TXT/HTML/?uri=CELEX:32007R14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ouro\Dropbox\Desktop\&#915;&#929;&#913;&#934;&#919;&#924;&#913;&#932;&#913;_&#916;&#917;&#923;&#932;&#921;&#927;_&#921;&#927;&#933;&#925;&#921;&#927;&#93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ouro\Dropbox\Desktop\&#915;&#929;&#913;&#934;&#919;&#924;&#913;&#932;&#913;_&#916;&#917;&#923;&#932;&#921;&#927;_&#921;&#927;&#933;&#925;&#921;&#927;&#93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ouro\Dropbox\Desktop\&#915;&#929;&#913;&#934;&#919;&#924;&#913;&#932;&#913;_&#916;&#917;&#923;&#932;&#921;&#927;_&#921;&#927;&#933;&#925;&#921;&#927;&#93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ouro\Dropbox\Desktop\&#915;&#929;&#913;&#934;&#919;&#924;&#913;&#932;&#913;_&#916;&#917;&#923;&#932;&#921;&#927;_&#921;&#927;&#933;&#925;&#921;&#927;&#93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ouro\Dropbox\Desktop\&#915;&#929;&#913;&#934;&#919;&#924;&#913;&#932;&#913;_&#916;&#917;&#923;&#932;&#921;&#927;_&#921;&#927;&#933;&#925;&#921;&#927;&#93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ouro\Dropbox\Desktop\&#915;&#929;&#913;&#934;&#919;&#924;&#913;&#932;&#913;_&#916;&#917;&#923;&#932;&#921;&#927;_&#921;&#927;&#933;&#925;&#921;&#927;&#93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ouro\Dropbox\Desktop\&#915;&#929;&#913;&#934;&#919;&#924;&#913;&#932;&#913;_&#916;&#917;&#923;&#932;&#921;&#927;_&#921;&#927;&#933;&#925;&#921;&#927;&#93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ouro\Dropbox\Desktop\&#915;&#929;&#913;&#934;&#919;&#924;&#913;&#932;&#913;_&#916;&#917;&#923;&#932;&#921;&#927;_&#921;&#927;&#933;&#925;&#921;&#927;&#93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enovo\Desktop\hlth_dpe010__custom_17222742_page_spreadshee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200" b="0" i="0" u="none" strike="noStrike" kern="1200" baseline="0">
                    <a:solidFill>
                      <a:schemeClr val="tx1">
                        <a:lumMod val="75000"/>
                        <a:lumOff val="25000"/>
                      </a:schemeClr>
                    </a:solidFill>
                    <a:latin typeface="+mj-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'ΓΡΑΦΗΜΑ 1'!$N$5:$X$5</c:f>
              <c:numCache>
                <c:formatCode>0</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'ΓΡΑΦΗΜΑ 1'!$N$6:$X$6</c:f>
              <c:numCache>
                <c:formatCode>#,##0</c:formatCode>
                <c:ptCount val="11"/>
                <c:pt idx="0">
                  <c:v>52722</c:v>
                </c:pt>
                <c:pt idx="1">
                  <c:v>46765</c:v>
                </c:pt>
                <c:pt idx="2">
                  <c:v>45374</c:v>
                </c:pt>
                <c:pt idx="3">
                  <c:v>45740.5</c:v>
                </c:pt>
                <c:pt idx="4">
                  <c:v>45836.03</c:v>
                </c:pt>
                <c:pt idx="5">
                  <c:v>44891.199999999997</c:v>
                </c:pt>
                <c:pt idx="6">
                  <c:v>45265.75</c:v>
                </c:pt>
                <c:pt idx="7">
                  <c:v>46125.46</c:v>
                </c:pt>
                <c:pt idx="8">
                  <c:v>48141.53</c:v>
                </c:pt>
                <c:pt idx="9">
                  <c:v>48599.78</c:v>
                </c:pt>
                <c:pt idx="10">
                  <c:v>49614</c:v>
                </c:pt>
              </c:numCache>
            </c:numRef>
          </c:val>
          <c:extLst xmlns:c16r2="http://schemas.microsoft.com/office/drawing/2015/06/chart">
            <c:ext xmlns:c16="http://schemas.microsoft.com/office/drawing/2014/chart" uri="{C3380CC4-5D6E-409C-BE32-E72D297353CC}">
              <c16:uniqueId val="{00000000-BD12-4F4D-8DEA-5E459555AD89}"/>
            </c:ext>
          </c:extLst>
        </c:ser>
        <c:dLbls>
          <c:showLegendKey val="0"/>
          <c:showVal val="0"/>
          <c:showCatName val="0"/>
          <c:showSerName val="0"/>
          <c:showPercent val="0"/>
          <c:showBubbleSize val="0"/>
        </c:dLbls>
        <c:gapWidth val="219"/>
        <c:overlap val="-27"/>
        <c:axId val="582050448"/>
        <c:axId val="582053712"/>
      </c:barChart>
      <c:catAx>
        <c:axId val="58205044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j-lt"/>
                <a:ea typeface="+mn-ea"/>
                <a:cs typeface="+mn-cs"/>
              </a:defRPr>
            </a:pPr>
            <a:endParaRPr lang="el-GR"/>
          </a:p>
        </c:txPr>
        <c:crossAx val="582053712"/>
        <c:crosses val="autoZero"/>
        <c:auto val="1"/>
        <c:lblAlgn val="ctr"/>
        <c:lblOffset val="100"/>
        <c:noMultiLvlLbl val="0"/>
      </c:catAx>
      <c:valAx>
        <c:axId val="582053712"/>
        <c:scaling>
          <c:orientation val="minMax"/>
        </c:scaling>
        <c:delete val="1"/>
        <c:axPos val="l"/>
        <c:numFmt formatCode="#,##0" sourceLinked="1"/>
        <c:majorTickMark val="none"/>
        <c:minorTickMark val="none"/>
        <c:tickLblPos val="nextTo"/>
        <c:crossAx val="582050448"/>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2c166829-e4cb-41e6-b1ee-8ab45c0e23c7}"/>
      </c:ext>
    </c:extLst>
  </c:chart>
  <c:spPr>
    <a:solidFill>
      <a:schemeClr val="bg1"/>
    </a:solidFill>
    <a:ln w="9525" cap="flat" cmpd="sng" algn="ctr">
      <a:noFill/>
      <a:round/>
    </a:ln>
    <a:effectLst/>
  </c:spPr>
  <c:txPr>
    <a:bodyPr/>
    <a:lstStyle/>
    <a:p>
      <a:pPr>
        <a:defRPr lang="en-US"/>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50000"/>
              </a:schemeClr>
            </a:solidFill>
            <a:ln>
              <a:noFill/>
            </a:ln>
            <a:effectLst/>
          </c:spPr>
          <c:invertIfNegative val="0"/>
          <c:dPt>
            <c:idx val="9"/>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9-9EE0-4F04-B696-33E686F4FBB3}"/>
              </c:ext>
            </c:extLst>
          </c:dPt>
          <c:dPt>
            <c:idx val="18"/>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12-9EE0-4F04-B696-33E686F4FBB3}"/>
              </c:ext>
            </c:extLst>
          </c:dPt>
          <c:dLbls>
            <c:dLbl>
              <c:idx val="0"/>
              <c:delete val="1"/>
              <c:extLst xmlns:c16r2="http://schemas.microsoft.com/office/drawing/2015/06/chart">
                <c:ext xmlns:c16="http://schemas.microsoft.com/office/drawing/2014/chart" uri="{C3380CC4-5D6E-409C-BE32-E72D297353CC}">
                  <c16:uniqueId val="{00000000-9EE0-4F04-B696-33E686F4FBB3}"/>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9EE0-4F04-B696-33E686F4FBB3}"/>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9EE0-4F04-B696-33E686F4FBB3}"/>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9EE0-4F04-B696-33E686F4FBB3}"/>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9EE0-4F04-B696-33E686F4FBB3}"/>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5-9EE0-4F04-B696-33E686F4FBB3}"/>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6-9EE0-4F04-B696-33E686F4FBB3}"/>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7-9EE0-4F04-B696-33E686F4FBB3}"/>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8-9EE0-4F04-B696-33E686F4FBB3}"/>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09-9EE0-4F04-B696-33E686F4FBB3}"/>
                </c:ext>
                <c:ext xmlns:c15="http://schemas.microsoft.com/office/drawing/2012/chart" uri="{CE6537A1-D6FC-4f65-9D91-7224C49458BB}"/>
              </c:extLst>
            </c:dLbl>
            <c:dLbl>
              <c:idx val="10"/>
              <c:layout>
                <c:manualLayout>
                  <c:x val="9.1043587117331584E-3"/>
                  <c:y val="3.465144720750101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EE0-4F04-B696-33E686F4FBB3}"/>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B-9EE0-4F04-B696-33E686F4FBB3}"/>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0C-9EE0-4F04-B696-33E686F4FBB3}"/>
                </c:ext>
                <c:ext xmlns:c15="http://schemas.microsoft.com/office/drawing/2012/chart" uri="{CE6537A1-D6FC-4f65-9D91-7224C49458BB}"/>
              </c:extLst>
            </c:dLbl>
            <c:dLbl>
              <c:idx val="13"/>
              <c:delete val="1"/>
              <c:extLst xmlns:c16r2="http://schemas.microsoft.com/office/drawing/2015/06/chart">
                <c:ext xmlns:c16="http://schemas.microsoft.com/office/drawing/2014/chart" uri="{C3380CC4-5D6E-409C-BE32-E72D297353CC}">
                  <c16:uniqueId val="{0000000D-9EE0-4F04-B696-33E686F4FBB3}"/>
                </c:ext>
                <c:ext xmlns:c15="http://schemas.microsoft.com/office/drawing/2012/chart" uri="{CE6537A1-D6FC-4f65-9D91-7224C49458BB}"/>
              </c:extLst>
            </c:dLbl>
            <c:dLbl>
              <c:idx val="14"/>
              <c:delete val="1"/>
              <c:extLst xmlns:c16r2="http://schemas.microsoft.com/office/drawing/2015/06/chart">
                <c:ext xmlns:c16="http://schemas.microsoft.com/office/drawing/2014/chart" uri="{C3380CC4-5D6E-409C-BE32-E72D297353CC}">
                  <c16:uniqueId val="{0000000E-9EE0-4F04-B696-33E686F4FBB3}"/>
                </c:ext>
                <c:ext xmlns:c15="http://schemas.microsoft.com/office/drawing/2012/chart" uri="{CE6537A1-D6FC-4f65-9D91-7224C49458BB}"/>
              </c:extLst>
            </c:dLbl>
            <c:dLbl>
              <c:idx val="15"/>
              <c:delete val="1"/>
              <c:extLst xmlns:c16r2="http://schemas.microsoft.com/office/drawing/2015/06/chart">
                <c:ext xmlns:c16="http://schemas.microsoft.com/office/drawing/2014/chart" uri="{C3380CC4-5D6E-409C-BE32-E72D297353CC}">
                  <c16:uniqueId val="{0000000F-9EE0-4F04-B696-33E686F4FBB3}"/>
                </c:ext>
                <c:ext xmlns:c15="http://schemas.microsoft.com/office/drawing/2012/chart" uri="{CE6537A1-D6FC-4f65-9D91-7224C49458BB}"/>
              </c:extLst>
            </c:dLbl>
            <c:dLbl>
              <c:idx val="16"/>
              <c:delete val="1"/>
              <c:extLst xmlns:c16r2="http://schemas.microsoft.com/office/drawing/2015/06/chart">
                <c:ext xmlns:c16="http://schemas.microsoft.com/office/drawing/2014/chart" uri="{C3380CC4-5D6E-409C-BE32-E72D297353CC}">
                  <c16:uniqueId val="{00000010-9EE0-4F04-B696-33E686F4FBB3}"/>
                </c:ext>
                <c:ext xmlns:c15="http://schemas.microsoft.com/office/drawing/2012/chart" uri="{CE6537A1-D6FC-4f65-9D91-7224C49458BB}"/>
              </c:extLst>
            </c:dLbl>
            <c:dLbl>
              <c:idx val="17"/>
              <c:delete val="1"/>
              <c:extLst xmlns:c16r2="http://schemas.microsoft.com/office/drawing/2015/06/chart">
                <c:ext xmlns:c16="http://schemas.microsoft.com/office/drawing/2014/chart" uri="{C3380CC4-5D6E-409C-BE32-E72D297353CC}">
                  <c16:uniqueId val="{00000011-9EE0-4F04-B696-33E686F4FBB3}"/>
                </c:ext>
                <c:ext xmlns:c15="http://schemas.microsoft.com/office/drawing/2012/chart" uri="{CE6537A1-D6FC-4f65-9D91-7224C49458BB}"/>
              </c:extLst>
            </c:dLbl>
            <c:dLbl>
              <c:idx val="18"/>
              <c:layout>
                <c:manualLayout>
                  <c:x val="1.8608914923531367E-2"/>
                  <c:y val="1.4790380932113215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9EE0-4F04-B696-33E686F4FBB3}"/>
                </c:ext>
                <c:ext xmlns:c15="http://schemas.microsoft.com/office/drawing/2012/chart" uri="{CE6537A1-D6FC-4f65-9D91-7224C49458BB}"/>
              </c:extLst>
            </c:dLbl>
            <c:dLbl>
              <c:idx val="19"/>
              <c:delete val="1"/>
              <c:extLst xmlns:c16r2="http://schemas.microsoft.com/office/drawing/2015/06/chart">
                <c:ext xmlns:c16="http://schemas.microsoft.com/office/drawing/2014/chart" uri="{C3380CC4-5D6E-409C-BE32-E72D297353CC}">
                  <c16:uniqueId val="{00000013-9EE0-4F04-B696-33E686F4FBB3}"/>
                </c:ext>
                <c:ext xmlns:c15="http://schemas.microsoft.com/office/drawing/2012/chart" uri="{CE6537A1-D6FC-4f65-9D91-7224C49458BB}"/>
              </c:extLst>
            </c:dLbl>
            <c:dLbl>
              <c:idx val="20"/>
              <c:delete val="1"/>
              <c:extLst xmlns:c16r2="http://schemas.microsoft.com/office/drawing/2015/06/chart">
                <c:ext xmlns:c16="http://schemas.microsoft.com/office/drawing/2014/chart" uri="{C3380CC4-5D6E-409C-BE32-E72D297353CC}">
                  <c16:uniqueId val="{00000014-9EE0-4F04-B696-33E686F4FBB3}"/>
                </c:ext>
                <c:ext xmlns:c15="http://schemas.microsoft.com/office/drawing/2012/chart" uri="{CE6537A1-D6FC-4f65-9D91-7224C49458BB}"/>
              </c:extLst>
            </c:dLbl>
            <c:dLbl>
              <c:idx val="21"/>
              <c:delete val="1"/>
              <c:extLst xmlns:c16r2="http://schemas.microsoft.com/office/drawing/2015/06/chart">
                <c:ext xmlns:c16="http://schemas.microsoft.com/office/drawing/2014/chart" uri="{C3380CC4-5D6E-409C-BE32-E72D297353CC}">
                  <c16:uniqueId val="{00000015-9EE0-4F04-B696-33E686F4FBB3}"/>
                </c:ext>
                <c:ext xmlns:c15="http://schemas.microsoft.com/office/drawing/2012/chart" uri="{CE6537A1-D6FC-4f65-9D91-7224C49458BB}"/>
              </c:extLst>
            </c:dLbl>
            <c:dLbl>
              <c:idx val="22"/>
              <c:delete val="1"/>
              <c:extLst xmlns:c16r2="http://schemas.microsoft.com/office/drawing/2015/06/chart">
                <c:ext xmlns:c16="http://schemas.microsoft.com/office/drawing/2014/chart" uri="{C3380CC4-5D6E-409C-BE32-E72D297353CC}">
                  <c16:uniqueId val="{00000016-9EE0-4F04-B696-33E686F4FBB3}"/>
                </c:ext>
                <c:ext xmlns:c15="http://schemas.microsoft.com/office/drawing/2012/chart" uri="{CE6537A1-D6FC-4f65-9D91-7224C49458BB}"/>
              </c:extLst>
            </c:dLbl>
            <c:dLbl>
              <c:idx val="23"/>
              <c:delete val="1"/>
              <c:extLst xmlns:c16r2="http://schemas.microsoft.com/office/drawing/2015/06/chart">
                <c:ext xmlns:c16="http://schemas.microsoft.com/office/drawing/2014/chart" uri="{C3380CC4-5D6E-409C-BE32-E72D297353CC}">
                  <c16:uniqueId val="{00000017-9EE0-4F04-B696-33E686F4FBB3}"/>
                </c:ext>
                <c:ext xmlns:c15="http://schemas.microsoft.com/office/drawing/2012/chart" uri="{CE6537A1-D6FC-4f65-9D91-7224C49458BB}"/>
              </c:extLst>
            </c:dLbl>
            <c:dLbl>
              <c:idx val="24"/>
              <c:delete val="1"/>
              <c:extLst xmlns:c16r2="http://schemas.microsoft.com/office/drawing/2015/06/chart">
                <c:ext xmlns:c16="http://schemas.microsoft.com/office/drawing/2014/chart" uri="{C3380CC4-5D6E-409C-BE32-E72D297353CC}">
                  <c16:uniqueId val="{00000018-9EE0-4F04-B696-33E686F4FBB3}"/>
                </c:ext>
                <c:ext xmlns:c15="http://schemas.microsoft.com/office/drawing/2012/chart" uri="{CE6537A1-D6FC-4f65-9D91-7224C49458BB}"/>
              </c:extLst>
            </c:dLbl>
            <c:dLbl>
              <c:idx val="25"/>
              <c:delete val="1"/>
              <c:extLst xmlns:c16r2="http://schemas.microsoft.com/office/drawing/2015/06/chart">
                <c:ext xmlns:c16="http://schemas.microsoft.com/office/drawing/2014/chart" uri="{C3380CC4-5D6E-409C-BE32-E72D297353CC}">
                  <c16:uniqueId val="{00000019-9EE0-4F04-B696-33E686F4FBB3}"/>
                </c:ext>
                <c:ext xmlns:c15="http://schemas.microsoft.com/office/drawing/2012/chart" uri="{CE6537A1-D6FC-4f65-9D91-7224C49458BB}"/>
              </c:extLst>
            </c:dLbl>
            <c:dLbl>
              <c:idx val="26"/>
              <c:delete val="1"/>
              <c:extLst xmlns:c16r2="http://schemas.microsoft.com/office/drawing/2015/06/chart">
                <c:ext xmlns:c16="http://schemas.microsoft.com/office/drawing/2014/chart" uri="{C3380CC4-5D6E-409C-BE32-E72D297353CC}">
                  <c16:uniqueId val="{0000001A-9EE0-4F04-B696-33E686F4FBB3}"/>
                </c:ext>
                <c:ext xmlns:c15="http://schemas.microsoft.com/office/drawing/2012/chart" uri="{CE6537A1-D6FC-4f65-9D91-7224C49458BB}"/>
              </c:extLst>
            </c:dLbl>
            <c:dLbl>
              <c:idx val="27"/>
              <c:delete val="1"/>
              <c:extLst xmlns:c16r2="http://schemas.microsoft.com/office/drawing/2015/06/chart">
                <c:ext xmlns:c16="http://schemas.microsoft.com/office/drawing/2014/chart" uri="{C3380CC4-5D6E-409C-BE32-E72D297353CC}">
                  <c16:uniqueId val="{0000001B-9EE0-4F04-B696-33E686F4FBB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mj-lt"/>
                    <a:ea typeface="+mn-ea"/>
                    <a:cs typeface="+mn-cs"/>
                  </a:defRPr>
                </a:pPr>
                <a:endParaRPr lang="el-GR"/>
              </a:p>
            </c:tx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'ΓΡΑΦΗΜΑ 2'!$K$52:$K$79</c:f>
              <c:strCache>
                <c:ptCount val="28"/>
                <c:pt idx="0">
                  <c:v>Λουξεμβούργο</c:v>
                </c:pt>
                <c:pt idx="1">
                  <c:v>Αυστρία</c:v>
                </c:pt>
                <c:pt idx="2">
                  <c:v>Γερμανία</c:v>
                </c:pt>
                <c:pt idx="3">
                  <c:v>Ολλανδία</c:v>
                </c:pt>
                <c:pt idx="4">
                  <c:v>Δανία</c:v>
                </c:pt>
                <c:pt idx="5">
                  <c:v>Γαλλία</c:v>
                </c:pt>
                <c:pt idx="6">
                  <c:v>Βέλγιο</c:v>
                </c:pt>
                <c:pt idx="7">
                  <c:v>Φινλανδία</c:v>
                </c:pt>
                <c:pt idx="8">
                  <c:v>Σουηδία</c:v>
                </c:pt>
                <c:pt idx="9">
                  <c:v>ΕΕ - 27 (από το 2020)</c:v>
                </c:pt>
                <c:pt idx="10">
                  <c:v>Ιταλία</c:v>
                </c:pt>
                <c:pt idx="11">
                  <c:v>Ιρλανδία</c:v>
                </c:pt>
                <c:pt idx="12">
                  <c:v>Ισπανία</c:v>
                </c:pt>
                <c:pt idx="13">
                  <c:v>Σλοβενία</c:v>
                </c:pt>
                <c:pt idx="14">
                  <c:v>Πορτογαλία</c:v>
                </c:pt>
                <c:pt idx="15">
                  <c:v>Κύπρος</c:v>
                </c:pt>
                <c:pt idx="16">
                  <c:v>Τσεχία</c:v>
                </c:pt>
                <c:pt idx="17">
                  <c:v>Πολωνία</c:v>
                </c:pt>
                <c:pt idx="18">
                  <c:v>Ελλάδα</c:v>
                </c:pt>
                <c:pt idx="19">
                  <c:v>Κροατία</c:v>
                </c:pt>
                <c:pt idx="20">
                  <c:v>Μάλτα</c:v>
                </c:pt>
                <c:pt idx="21">
                  <c:v>Λιθουανία</c:v>
                </c:pt>
                <c:pt idx="22">
                  <c:v>Ουγγαρία</c:v>
                </c:pt>
                <c:pt idx="23">
                  <c:v>Λετονία</c:v>
                </c:pt>
                <c:pt idx="24">
                  <c:v>Σλοβακία</c:v>
                </c:pt>
                <c:pt idx="25">
                  <c:v>Ρουμανία</c:v>
                </c:pt>
                <c:pt idx="26">
                  <c:v>Βουλγαρία</c:v>
                </c:pt>
                <c:pt idx="27">
                  <c:v>Εσθονία</c:v>
                </c:pt>
              </c:strCache>
            </c:strRef>
          </c:cat>
          <c:val>
            <c:numRef>
              <c:f>'ΓΡΑΦΗΜΑ 2'!$L$52:$L$79</c:f>
              <c:numCache>
                <c:formatCode>#,##0.##########</c:formatCode>
                <c:ptCount val="28"/>
                <c:pt idx="0">
                  <c:v>17011.599999999999</c:v>
                </c:pt>
                <c:pt idx="1">
                  <c:v>13114.71</c:v>
                </c:pt>
                <c:pt idx="2">
                  <c:v>13096.57</c:v>
                </c:pt>
                <c:pt idx="3">
                  <c:v>12755.21</c:v>
                </c:pt>
                <c:pt idx="4">
                  <c:v>12382.86</c:v>
                </c:pt>
                <c:pt idx="5">
                  <c:v>12082.56</c:v>
                </c:pt>
                <c:pt idx="6">
                  <c:v>11522.62</c:v>
                </c:pt>
                <c:pt idx="7">
                  <c:v>11174.04</c:v>
                </c:pt>
                <c:pt idx="8">
                  <c:v>10987</c:v>
                </c:pt>
                <c:pt idx="9">
                  <c:v>10062.91</c:v>
                </c:pt>
                <c:pt idx="10">
                  <c:v>10012.629999999999</c:v>
                </c:pt>
                <c:pt idx="11">
                  <c:v>7997.23</c:v>
                </c:pt>
                <c:pt idx="12">
                  <c:v>7957.88</c:v>
                </c:pt>
                <c:pt idx="13">
                  <c:v>7445.55</c:v>
                </c:pt>
                <c:pt idx="14">
                  <c:v>6744.17</c:v>
                </c:pt>
                <c:pt idx="15">
                  <c:v>6589.04</c:v>
                </c:pt>
                <c:pt idx="16">
                  <c:v>6494</c:v>
                </c:pt>
                <c:pt idx="17">
                  <c:v>6371.5</c:v>
                </c:pt>
                <c:pt idx="18">
                  <c:v>5696.94</c:v>
                </c:pt>
                <c:pt idx="19">
                  <c:v>5350.43</c:v>
                </c:pt>
                <c:pt idx="20">
                  <c:v>5328.71</c:v>
                </c:pt>
                <c:pt idx="21">
                  <c:v>5304.28</c:v>
                </c:pt>
                <c:pt idx="22">
                  <c:v>4744.0600000000004</c:v>
                </c:pt>
                <c:pt idx="23">
                  <c:v>4731.03</c:v>
                </c:pt>
                <c:pt idx="24">
                  <c:v>4632.4799999999996</c:v>
                </c:pt>
                <c:pt idx="25">
                  <c:v>4587.62</c:v>
                </c:pt>
                <c:pt idx="26">
                  <c:v>4567.6400000000003</c:v>
                </c:pt>
                <c:pt idx="27">
                  <c:v>4513.58</c:v>
                </c:pt>
              </c:numCache>
            </c:numRef>
          </c:val>
          <c:extLst xmlns:c16r2="http://schemas.microsoft.com/office/drawing/2015/06/chart">
            <c:ext xmlns:c16="http://schemas.microsoft.com/office/drawing/2014/chart" uri="{C3380CC4-5D6E-409C-BE32-E72D297353CC}">
              <c16:uniqueId val="{0000001C-9EE0-4F04-B696-33E686F4FBB3}"/>
            </c:ext>
          </c:extLst>
        </c:ser>
        <c:dLbls>
          <c:showLegendKey val="0"/>
          <c:showVal val="0"/>
          <c:showCatName val="0"/>
          <c:showSerName val="0"/>
          <c:showPercent val="0"/>
          <c:showBubbleSize val="0"/>
        </c:dLbls>
        <c:gapWidth val="219"/>
        <c:axId val="582047728"/>
        <c:axId val="582049360"/>
      </c:barChart>
      <c:catAx>
        <c:axId val="5820477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j-lt"/>
                <a:ea typeface="+mn-ea"/>
                <a:cs typeface="+mn-cs"/>
              </a:defRPr>
            </a:pPr>
            <a:endParaRPr lang="el-GR"/>
          </a:p>
        </c:txPr>
        <c:crossAx val="582049360"/>
        <c:crosses val="autoZero"/>
        <c:auto val="1"/>
        <c:lblAlgn val="ctr"/>
        <c:lblOffset val="100"/>
        <c:noMultiLvlLbl val="0"/>
      </c:catAx>
      <c:valAx>
        <c:axId val="582049360"/>
        <c:scaling>
          <c:orientation val="minMax"/>
          <c:max val="17500"/>
          <c:min val="3000"/>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j-lt"/>
                <a:ea typeface="+mn-ea"/>
                <a:cs typeface="+mn-cs"/>
              </a:defRPr>
            </a:pPr>
            <a:endParaRPr lang="el-GR"/>
          </a:p>
        </c:txPr>
        <c:crossAx val="582047728"/>
        <c:crosses val="autoZero"/>
        <c:crossBetween val="between"/>
        <c:majorUnit val="2000"/>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c4d423ab-34f4-4c9e-8a14-9d955d29cb1d}"/>
      </c:ext>
    </c:extLst>
  </c:chart>
  <c:spPr>
    <a:solidFill>
      <a:schemeClr val="bg1"/>
    </a:solidFill>
    <a:ln w="9525" cap="flat" cmpd="sng" algn="ctr">
      <a:noFill/>
      <a:round/>
    </a:ln>
    <a:effectLst/>
  </c:spPr>
  <c:txPr>
    <a:bodyPr/>
    <a:lstStyle/>
    <a:p>
      <a:pPr>
        <a:defRPr lang="en-US"/>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50000"/>
              </a:schemeClr>
            </a:solidFill>
            <a:ln>
              <a:noFill/>
            </a:ln>
            <a:effectLst/>
          </c:spPr>
          <c:invertIfNegative val="0"/>
          <c:dPt>
            <c:idx val="7"/>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7-BC8F-460F-9788-FA01B9D5C599}"/>
              </c:ext>
            </c:extLst>
          </c:dPt>
          <c:dPt>
            <c:idx val="13"/>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D-BC8F-460F-9788-FA01B9D5C599}"/>
              </c:ext>
            </c:extLst>
          </c:dPt>
          <c:dLbls>
            <c:dLbl>
              <c:idx val="0"/>
              <c:delete val="1"/>
              <c:extLst xmlns:c16r2="http://schemas.microsoft.com/office/drawing/2015/06/chart">
                <c:ext xmlns:c16="http://schemas.microsoft.com/office/drawing/2014/chart" uri="{C3380CC4-5D6E-409C-BE32-E72D297353CC}">
                  <c16:uniqueId val="{00000000-BC8F-460F-9788-FA01B9D5C599}"/>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BC8F-460F-9788-FA01B9D5C599}"/>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BC8F-460F-9788-FA01B9D5C599}"/>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BC8F-460F-9788-FA01B9D5C599}"/>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BC8F-460F-9788-FA01B9D5C599}"/>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5-BC8F-460F-9788-FA01B9D5C599}"/>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6-BC8F-460F-9788-FA01B9D5C599}"/>
                </c:ext>
                <c:ext xmlns:c15="http://schemas.microsoft.com/office/drawing/2012/chart" uri="{CE6537A1-D6FC-4f65-9D91-7224C49458BB}"/>
              </c:extLst>
            </c:dLbl>
            <c:dLbl>
              <c:idx val="7"/>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C8F-460F-9788-FA01B9D5C599}"/>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8-BC8F-460F-9788-FA01B9D5C599}"/>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09-BC8F-460F-9788-FA01B9D5C599}"/>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A-BC8F-460F-9788-FA01B9D5C599}"/>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B-BC8F-460F-9788-FA01B9D5C599}"/>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0C-BC8F-460F-9788-FA01B9D5C599}"/>
                </c:ext>
                <c:ext xmlns:c15="http://schemas.microsoft.com/office/drawing/2012/chart" uri="{CE6537A1-D6FC-4f65-9D91-7224C49458BB}"/>
              </c:extLst>
            </c:dLbl>
            <c:dLbl>
              <c:idx val="13"/>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C8F-460F-9788-FA01B9D5C599}"/>
                </c:ext>
                <c:ext xmlns:c15="http://schemas.microsoft.com/office/drawing/2012/chart" uri="{CE6537A1-D6FC-4f65-9D91-7224C49458BB}"/>
              </c:extLst>
            </c:dLbl>
            <c:dLbl>
              <c:idx val="14"/>
              <c:delete val="1"/>
              <c:extLst xmlns:c16r2="http://schemas.microsoft.com/office/drawing/2015/06/chart">
                <c:ext xmlns:c16="http://schemas.microsoft.com/office/drawing/2014/chart" uri="{C3380CC4-5D6E-409C-BE32-E72D297353CC}">
                  <c16:uniqueId val="{0000000E-BC8F-460F-9788-FA01B9D5C599}"/>
                </c:ext>
                <c:ext xmlns:c15="http://schemas.microsoft.com/office/drawing/2012/chart" uri="{CE6537A1-D6FC-4f65-9D91-7224C49458BB}"/>
              </c:extLst>
            </c:dLbl>
            <c:dLbl>
              <c:idx val="15"/>
              <c:delete val="1"/>
              <c:extLst xmlns:c16r2="http://schemas.microsoft.com/office/drawing/2015/06/chart">
                <c:ext xmlns:c16="http://schemas.microsoft.com/office/drawing/2014/chart" uri="{C3380CC4-5D6E-409C-BE32-E72D297353CC}">
                  <c16:uniqueId val="{0000000F-BC8F-460F-9788-FA01B9D5C599}"/>
                </c:ext>
                <c:ext xmlns:c15="http://schemas.microsoft.com/office/drawing/2012/chart" uri="{CE6537A1-D6FC-4f65-9D91-7224C49458BB}"/>
              </c:extLst>
            </c:dLbl>
            <c:dLbl>
              <c:idx val="16"/>
              <c:delete val="1"/>
              <c:extLst xmlns:c16r2="http://schemas.microsoft.com/office/drawing/2015/06/chart">
                <c:ext xmlns:c16="http://schemas.microsoft.com/office/drawing/2014/chart" uri="{C3380CC4-5D6E-409C-BE32-E72D297353CC}">
                  <c16:uniqueId val="{00000010-BC8F-460F-9788-FA01B9D5C599}"/>
                </c:ext>
                <c:ext xmlns:c15="http://schemas.microsoft.com/office/drawing/2012/chart" uri="{CE6537A1-D6FC-4f65-9D91-7224C49458BB}"/>
              </c:extLst>
            </c:dLbl>
            <c:dLbl>
              <c:idx val="17"/>
              <c:delete val="1"/>
              <c:extLst xmlns:c16r2="http://schemas.microsoft.com/office/drawing/2015/06/chart">
                <c:ext xmlns:c16="http://schemas.microsoft.com/office/drawing/2014/chart" uri="{C3380CC4-5D6E-409C-BE32-E72D297353CC}">
                  <c16:uniqueId val="{00000011-BC8F-460F-9788-FA01B9D5C599}"/>
                </c:ext>
                <c:ext xmlns:c15="http://schemas.microsoft.com/office/drawing/2012/chart" uri="{CE6537A1-D6FC-4f65-9D91-7224C49458BB}"/>
              </c:extLst>
            </c:dLbl>
            <c:dLbl>
              <c:idx val="18"/>
              <c:delete val="1"/>
              <c:extLst xmlns:c16r2="http://schemas.microsoft.com/office/drawing/2015/06/chart">
                <c:ext xmlns:c16="http://schemas.microsoft.com/office/drawing/2014/chart" uri="{C3380CC4-5D6E-409C-BE32-E72D297353CC}">
                  <c16:uniqueId val="{00000012-BC8F-460F-9788-FA01B9D5C599}"/>
                </c:ext>
                <c:ext xmlns:c15="http://schemas.microsoft.com/office/drawing/2012/chart" uri="{CE6537A1-D6FC-4f65-9D91-7224C49458BB}"/>
              </c:extLst>
            </c:dLbl>
            <c:dLbl>
              <c:idx val="19"/>
              <c:delete val="1"/>
              <c:extLst xmlns:c16r2="http://schemas.microsoft.com/office/drawing/2015/06/chart">
                <c:ext xmlns:c16="http://schemas.microsoft.com/office/drawing/2014/chart" uri="{C3380CC4-5D6E-409C-BE32-E72D297353CC}">
                  <c16:uniqueId val="{00000013-BC8F-460F-9788-FA01B9D5C599}"/>
                </c:ext>
                <c:ext xmlns:c15="http://schemas.microsoft.com/office/drawing/2012/chart" uri="{CE6537A1-D6FC-4f65-9D91-7224C49458BB}"/>
              </c:extLst>
            </c:dLbl>
            <c:dLbl>
              <c:idx val="20"/>
              <c:delete val="1"/>
              <c:extLst xmlns:c16r2="http://schemas.microsoft.com/office/drawing/2015/06/chart">
                <c:ext xmlns:c16="http://schemas.microsoft.com/office/drawing/2014/chart" uri="{C3380CC4-5D6E-409C-BE32-E72D297353CC}">
                  <c16:uniqueId val="{00000014-BC8F-460F-9788-FA01B9D5C599}"/>
                </c:ext>
                <c:ext xmlns:c15="http://schemas.microsoft.com/office/drawing/2012/chart" uri="{CE6537A1-D6FC-4f65-9D91-7224C49458BB}"/>
              </c:extLst>
            </c:dLbl>
            <c:dLbl>
              <c:idx val="21"/>
              <c:delete val="1"/>
              <c:extLst xmlns:c16r2="http://schemas.microsoft.com/office/drawing/2015/06/chart">
                <c:ext xmlns:c16="http://schemas.microsoft.com/office/drawing/2014/chart" uri="{C3380CC4-5D6E-409C-BE32-E72D297353CC}">
                  <c16:uniqueId val="{00000015-BC8F-460F-9788-FA01B9D5C599}"/>
                </c:ext>
                <c:ext xmlns:c15="http://schemas.microsoft.com/office/drawing/2012/chart" uri="{CE6537A1-D6FC-4f65-9D91-7224C49458BB}"/>
              </c:extLst>
            </c:dLbl>
            <c:dLbl>
              <c:idx val="22"/>
              <c:delete val="1"/>
              <c:extLst xmlns:c16r2="http://schemas.microsoft.com/office/drawing/2015/06/chart">
                <c:ext xmlns:c16="http://schemas.microsoft.com/office/drawing/2014/chart" uri="{C3380CC4-5D6E-409C-BE32-E72D297353CC}">
                  <c16:uniqueId val="{00000016-BC8F-460F-9788-FA01B9D5C599}"/>
                </c:ext>
                <c:ext xmlns:c15="http://schemas.microsoft.com/office/drawing/2012/chart" uri="{CE6537A1-D6FC-4f65-9D91-7224C49458BB}"/>
              </c:extLst>
            </c:dLbl>
            <c:dLbl>
              <c:idx val="23"/>
              <c:delete val="1"/>
              <c:extLst xmlns:c16r2="http://schemas.microsoft.com/office/drawing/2015/06/chart">
                <c:ext xmlns:c16="http://schemas.microsoft.com/office/drawing/2014/chart" uri="{C3380CC4-5D6E-409C-BE32-E72D297353CC}">
                  <c16:uniqueId val="{00000017-BC8F-460F-9788-FA01B9D5C599}"/>
                </c:ext>
                <c:ext xmlns:c15="http://schemas.microsoft.com/office/drawing/2012/chart" uri="{CE6537A1-D6FC-4f65-9D91-7224C49458BB}"/>
              </c:extLst>
            </c:dLbl>
            <c:dLbl>
              <c:idx val="24"/>
              <c:delete val="1"/>
              <c:extLst xmlns:c16r2="http://schemas.microsoft.com/office/drawing/2015/06/chart">
                <c:ext xmlns:c16="http://schemas.microsoft.com/office/drawing/2014/chart" uri="{C3380CC4-5D6E-409C-BE32-E72D297353CC}">
                  <c16:uniqueId val="{00000018-BC8F-460F-9788-FA01B9D5C599}"/>
                </c:ext>
                <c:ext xmlns:c15="http://schemas.microsoft.com/office/drawing/2012/chart" uri="{CE6537A1-D6FC-4f65-9D91-7224C49458BB}"/>
              </c:extLst>
            </c:dLbl>
            <c:dLbl>
              <c:idx val="25"/>
              <c:delete val="1"/>
              <c:extLst xmlns:c16r2="http://schemas.microsoft.com/office/drawing/2015/06/chart">
                <c:ext xmlns:c16="http://schemas.microsoft.com/office/drawing/2014/chart" uri="{C3380CC4-5D6E-409C-BE32-E72D297353CC}">
                  <c16:uniqueId val="{00000019-BC8F-460F-9788-FA01B9D5C599}"/>
                </c:ext>
                <c:ext xmlns:c15="http://schemas.microsoft.com/office/drawing/2012/chart" uri="{CE6537A1-D6FC-4f65-9D91-7224C49458BB}"/>
              </c:extLst>
            </c:dLbl>
            <c:dLbl>
              <c:idx val="26"/>
              <c:delete val="1"/>
              <c:extLst xmlns:c16r2="http://schemas.microsoft.com/office/drawing/2015/06/chart">
                <c:ext xmlns:c16="http://schemas.microsoft.com/office/drawing/2014/chart" uri="{C3380CC4-5D6E-409C-BE32-E72D297353CC}">
                  <c16:uniqueId val="{0000001A-BC8F-460F-9788-FA01B9D5C599}"/>
                </c:ext>
                <c:ext xmlns:c15="http://schemas.microsoft.com/office/drawing/2012/chart" uri="{CE6537A1-D6FC-4f65-9D91-7224C49458BB}"/>
              </c:extLst>
            </c:dLbl>
            <c:dLbl>
              <c:idx val="27"/>
              <c:delete val="1"/>
              <c:extLst xmlns:c16r2="http://schemas.microsoft.com/office/drawing/2015/06/chart">
                <c:ext xmlns:c16="http://schemas.microsoft.com/office/drawing/2014/chart" uri="{C3380CC4-5D6E-409C-BE32-E72D297353CC}">
                  <c16:uniqueId val="{0000001B-BC8F-460F-9788-FA01B9D5C59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mj-lt"/>
                    <a:ea typeface="+mn-ea"/>
                    <a:cs typeface="+mn-cs"/>
                  </a:defRPr>
                </a:pPr>
                <a:endParaRPr lang="el-GR"/>
              </a:p>
            </c:tx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3'!$F$9:$F$36</c:f>
              <c:strCache>
                <c:ptCount val="28"/>
                <c:pt idx="0">
                  <c:v>Γαλλία</c:v>
                </c:pt>
                <c:pt idx="1">
                  <c:v>Αυστρία</c:v>
                </c:pt>
                <c:pt idx="2">
                  <c:v>Φινλανδία</c:v>
                </c:pt>
                <c:pt idx="3">
                  <c:v>Γερμανία</c:v>
                </c:pt>
                <c:pt idx="4">
                  <c:v>Ιταλία</c:v>
                </c:pt>
                <c:pt idx="5">
                  <c:v>Βέλγιο</c:v>
                </c:pt>
                <c:pt idx="6">
                  <c:v>Δανία</c:v>
                </c:pt>
                <c:pt idx="7">
                  <c:v>ΕΕ - 27 (από το 2020)</c:v>
                </c:pt>
                <c:pt idx="8">
                  <c:v>Σουηδία</c:v>
                </c:pt>
                <c:pt idx="9">
                  <c:v>Ολλανδία</c:v>
                </c:pt>
                <c:pt idx="10">
                  <c:v>Ισπανία</c:v>
                </c:pt>
                <c:pt idx="11">
                  <c:v>Πορτογαλία</c:v>
                </c:pt>
                <c:pt idx="12">
                  <c:v>Σλοβενία</c:v>
                </c:pt>
                <c:pt idx="13">
                  <c:v>Ελλάδα</c:v>
                </c:pt>
                <c:pt idx="14">
                  <c:v>Λουξεμβούργο</c:v>
                </c:pt>
                <c:pt idx="15">
                  <c:v>Πολωνία</c:v>
                </c:pt>
                <c:pt idx="16">
                  <c:v>Κροατία</c:v>
                </c:pt>
                <c:pt idx="17">
                  <c:v>Τσεχία</c:v>
                </c:pt>
                <c:pt idx="18">
                  <c:v>Κύπρος</c:v>
                </c:pt>
                <c:pt idx="19">
                  <c:v>Λετονία</c:v>
                </c:pt>
                <c:pt idx="20">
                  <c:v>Βουλγαρία</c:v>
                </c:pt>
                <c:pt idx="21">
                  <c:v>Σλοβακία</c:v>
                </c:pt>
                <c:pt idx="22">
                  <c:v>Ουγγαρία</c:v>
                </c:pt>
                <c:pt idx="23">
                  <c:v>Λιθουανία</c:v>
                </c:pt>
                <c:pt idx="24">
                  <c:v>Ρουμανία</c:v>
                </c:pt>
                <c:pt idx="25">
                  <c:v>Εσθονία</c:v>
                </c:pt>
                <c:pt idx="26">
                  <c:v>Μάλτα</c:v>
                </c:pt>
                <c:pt idx="27">
                  <c:v>Ιρλανδία</c:v>
                </c:pt>
              </c:strCache>
            </c:strRef>
          </c:cat>
          <c:val>
            <c:numRef>
              <c:f>'ΓΡΑΦΗΜΑ 3'!$G$9:$G$36</c:f>
              <c:numCache>
                <c:formatCode>#,##0.##########</c:formatCode>
                <c:ptCount val="28"/>
                <c:pt idx="0">
                  <c:v>33.979999999999997</c:v>
                </c:pt>
                <c:pt idx="1">
                  <c:v>30.45</c:v>
                </c:pt>
                <c:pt idx="2">
                  <c:v>30.08</c:v>
                </c:pt>
                <c:pt idx="3">
                  <c:v>30.01</c:v>
                </c:pt>
                <c:pt idx="4">
                  <c:v>29.75</c:v>
                </c:pt>
                <c:pt idx="5">
                  <c:v>28.55</c:v>
                </c:pt>
                <c:pt idx="6">
                  <c:v>28.06</c:v>
                </c:pt>
                <c:pt idx="7">
                  <c:v>27.85</c:v>
                </c:pt>
                <c:pt idx="8">
                  <c:v>27.23</c:v>
                </c:pt>
                <c:pt idx="9">
                  <c:v>27.12</c:v>
                </c:pt>
                <c:pt idx="10">
                  <c:v>25.87</c:v>
                </c:pt>
                <c:pt idx="11">
                  <c:v>24.67</c:v>
                </c:pt>
                <c:pt idx="12">
                  <c:v>24.25</c:v>
                </c:pt>
                <c:pt idx="13">
                  <c:v>24.14</c:v>
                </c:pt>
                <c:pt idx="14">
                  <c:v>22.18</c:v>
                </c:pt>
                <c:pt idx="15">
                  <c:v>20.95</c:v>
                </c:pt>
                <c:pt idx="16">
                  <c:v>20.9</c:v>
                </c:pt>
                <c:pt idx="17">
                  <c:v>19.940000000000001</c:v>
                </c:pt>
                <c:pt idx="18">
                  <c:v>19.809999999999999</c:v>
                </c:pt>
                <c:pt idx="19">
                  <c:v>18.86</c:v>
                </c:pt>
                <c:pt idx="20">
                  <c:v>18.64</c:v>
                </c:pt>
                <c:pt idx="21">
                  <c:v>18.18</c:v>
                </c:pt>
                <c:pt idx="22">
                  <c:v>16.670000000000002</c:v>
                </c:pt>
                <c:pt idx="23">
                  <c:v>16.59</c:v>
                </c:pt>
                <c:pt idx="24">
                  <c:v>16.5</c:v>
                </c:pt>
                <c:pt idx="25">
                  <c:v>15.74</c:v>
                </c:pt>
                <c:pt idx="26">
                  <c:v>14.41</c:v>
                </c:pt>
                <c:pt idx="27">
                  <c:v>11.37</c:v>
                </c:pt>
              </c:numCache>
            </c:numRef>
          </c:val>
          <c:extLst xmlns:c16r2="http://schemas.microsoft.com/office/drawing/2015/06/chart">
            <c:ext xmlns:c16="http://schemas.microsoft.com/office/drawing/2014/chart" uri="{C3380CC4-5D6E-409C-BE32-E72D297353CC}">
              <c16:uniqueId val="{0000001C-BC8F-460F-9788-FA01B9D5C599}"/>
            </c:ext>
          </c:extLst>
        </c:ser>
        <c:dLbls>
          <c:showLegendKey val="0"/>
          <c:showVal val="0"/>
          <c:showCatName val="0"/>
          <c:showSerName val="0"/>
          <c:showPercent val="0"/>
          <c:showBubbleSize val="0"/>
        </c:dLbls>
        <c:gapWidth val="219"/>
        <c:axId val="582053168"/>
        <c:axId val="582046096"/>
      </c:barChart>
      <c:catAx>
        <c:axId val="5820531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j-lt"/>
                <a:ea typeface="+mn-ea"/>
                <a:cs typeface="+mn-cs"/>
              </a:defRPr>
            </a:pPr>
            <a:endParaRPr lang="el-GR"/>
          </a:p>
        </c:txPr>
        <c:crossAx val="582046096"/>
        <c:crosses val="autoZero"/>
        <c:auto val="1"/>
        <c:lblAlgn val="ctr"/>
        <c:lblOffset val="100"/>
        <c:noMultiLvlLbl val="0"/>
      </c:catAx>
      <c:valAx>
        <c:axId val="582046096"/>
        <c:scaling>
          <c:orientation val="minMax"/>
          <c:max val="35"/>
        </c:scaling>
        <c:delete val="0"/>
        <c:axPos val="t"/>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j-lt"/>
                <a:ea typeface="+mn-ea"/>
                <a:cs typeface="+mn-cs"/>
              </a:defRPr>
            </a:pPr>
            <a:endParaRPr lang="el-GR"/>
          </a:p>
        </c:txPr>
        <c:crossAx val="582053168"/>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f37a49fc-0e5c-47fe-8fe9-40b7ac2e74a6}"/>
      </c:ext>
    </c:extLst>
  </c:chart>
  <c:spPr>
    <a:solidFill>
      <a:schemeClr val="bg1"/>
    </a:solidFill>
    <a:ln w="9525" cap="flat" cmpd="sng" algn="ctr">
      <a:noFill/>
      <a:round/>
    </a:ln>
    <a:effectLst/>
  </c:spPr>
  <c:txPr>
    <a:bodyPr/>
    <a:lstStyle/>
    <a:p>
      <a:pPr>
        <a:defRPr lang="en-US"/>
      </a:pPr>
      <a:endParaRPr lang="el-G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tx1">
                <a:lumMod val="50000"/>
                <a:lumOff val="50000"/>
              </a:schemeClr>
            </a:solidFill>
            <a:ln>
              <a:noFill/>
            </a:ln>
            <a:effectLst/>
          </c:spPr>
          <c:invertIfNegative val="0"/>
          <c:dPt>
            <c:idx val="0"/>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2-D4D3-437E-BFE1-4B8EE752BFCC}"/>
              </c:ext>
            </c:extLst>
          </c:dPt>
          <c:dPt>
            <c:idx val="13"/>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1-D4D3-437E-BFE1-4B8EE752BFCC}"/>
              </c:ext>
            </c:extLst>
          </c:dPt>
          <c:dLbls>
            <c:dLbl>
              <c:idx val="0"/>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dLbl>
            <c:dLbl>
              <c:idx val="13"/>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lang="en-US" sz="1200" b="0"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4'!$C$5:$C$32</c:f>
              <c:strCache>
                <c:ptCount val="28"/>
                <c:pt idx="0">
                  <c:v>Ελλάδα</c:v>
                </c:pt>
                <c:pt idx="1">
                  <c:v>Ρουμανία</c:v>
                </c:pt>
                <c:pt idx="2">
                  <c:v>Λετονία</c:v>
                </c:pt>
                <c:pt idx="3">
                  <c:v>Κροατία</c:v>
                </c:pt>
                <c:pt idx="4">
                  <c:v>Πορτογαλία</c:v>
                </c:pt>
                <c:pt idx="5">
                  <c:v>Ισπανία</c:v>
                </c:pt>
                <c:pt idx="6">
                  <c:v>Λιθουανία</c:v>
                </c:pt>
                <c:pt idx="7">
                  <c:v>Μάλτα</c:v>
                </c:pt>
                <c:pt idx="8">
                  <c:v>Λουξεμβούργο</c:v>
                </c:pt>
                <c:pt idx="9">
                  <c:v>Βουλγαρία</c:v>
                </c:pt>
                <c:pt idx="10">
                  <c:v>Κύπρος</c:v>
                </c:pt>
                <c:pt idx="11">
                  <c:v>Ιταλία</c:v>
                </c:pt>
                <c:pt idx="12">
                  <c:v>Εσθονία</c:v>
                </c:pt>
                <c:pt idx="13">
                  <c:v>ΕΕ-27</c:v>
                </c:pt>
                <c:pt idx="14">
                  <c:v>Ουγγαρία</c:v>
                </c:pt>
                <c:pt idx="15">
                  <c:v>Γερμανία</c:v>
                </c:pt>
                <c:pt idx="16">
                  <c:v>Σλοβακία</c:v>
                </c:pt>
                <c:pt idx="17">
                  <c:v>Σλοβενία</c:v>
                </c:pt>
                <c:pt idx="18">
                  <c:v>Γαλλία</c:v>
                </c:pt>
                <c:pt idx="19">
                  <c:v>Σουηδία</c:v>
                </c:pt>
                <c:pt idx="20">
                  <c:v>Τσεχία</c:v>
                </c:pt>
                <c:pt idx="21">
                  <c:v>Αυστρία</c:v>
                </c:pt>
                <c:pt idx="22">
                  <c:v>Ολλανδία</c:v>
                </c:pt>
                <c:pt idx="23">
                  <c:v>Πολωνία</c:v>
                </c:pt>
                <c:pt idx="24">
                  <c:v>Φινλανδία</c:v>
                </c:pt>
                <c:pt idx="25">
                  <c:v>Δανία</c:v>
                </c:pt>
                <c:pt idx="26">
                  <c:v>Βέλγιο</c:v>
                </c:pt>
                <c:pt idx="27">
                  <c:v>Ιρλανδία</c:v>
                </c:pt>
              </c:strCache>
            </c:strRef>
          </c:cat>
          <c:val>
            <c:numRef>
              <c:f>'ΓΡΑΦΗΜΑ 4'!$D$5:$D$32</c:f>
              <c:numCache>
                <c:formatCode>General</c:formatCode>
                <c:ptCount val="28"/>
                <c:pt idx="0">
                  <c:v>16.600000000000001</c:v>
                </c:pt>
                <c:pt idx="1">
                  <c:v>18.8</c:v>
                </c:pt>
                <c:pt idx="2">
                  <c:v>21.45</c:v>
                </c:pt>
                <c:pt idx="3">
                  <c:v>21.62</c:v>
                </c:pt>
                <c:pt idx="4">
                  <c:v>22.43</c:v>
                </c:pt>
                <c:pt idx="5">
                  <c:v>23.94</c:v>
                </c:pt>
                <c:pt idx="6">
                  <c:v>25.86</c:v>
                </c:pt>
                <c:pt idx="7">
                  <c:v>25.99</c:v>
                </c:pt>
                <c:pt idx="8">
                  <c:v>27.02</c:v>
                </c:pt>
                <c:pt idx="9">
                  <c:v>27.67</c:v>
                </c:pt>
                <c:pt idx="10">
                  <c:v>30.48</c:v>
                </c:pt>
                <c:pt idx="11">
                  <c:v>31.27</c:v>
                </c:pt>
                <c:pt idx="12">
                  <c:v>31.53</c:v>
                </c:pt>
                <c:pt idx="13">
                  <c:v>34.409999999999997</c:v>
                </c:pt>
                <c:pt idx="14">
                  <c:v>34.96</c:v>
                </c:pt>
                <c:pt idx="15">
                  <c:v>35.68</c:v>
                </c:pt>
                <c:pt idx="16">
                  <c:v>36.68</c:v>
                </c:pt>
                <c:pt idx="17">
                  <c:v>37.74</c:v>
                </c:pt>
                <c:pt idx="18">
                  <c:v>38.85</c:v>
                </c:pt>
                <c:pt idx="19">
                  <c:v>40.56</c:v>
                </c:pt>
                <c:pt idx="20">
                  <c:v>40.630000000000003</c:v>
                </c:pt>
                <c:pt idx="21">
                  <c:v>40.659999999999997</c:v>
                </c:pt>
                <c:pt idx="22">
                  <c:v>40.98</c:v>
                </c:pt>
                <c:pt idx="23">
                  <c:v>41.53</c:v>
                </c:pt>
                <c:pt idx="24">
                  <c:v>46.38</c:v>
                </c:pt>
                <c:pt idx="25">
                  <c:v>50.43</c:v>
                </c:pt>
                <c:pt idx="26">
                  <c:v>52.67</c:v>
                </c:pt>
                <c:pt idx="27">
                  <c:v>52.87</c:v>
                </c:pt>
              </c:numCache>
            </c:numRef>
          </c:val>
          <c:extLst xmlns:c16r2="http://schemas.microsoft.com/office/drawing/2015/06/chart">
            <c:ext xmlns:c16="http://schemas.microsoft.com/office/drawing/2014/chart" uri="{C3380CC4-5D6E-409C-BE32-E72D297353CC}">
              <c16:uniqueId val="{00000000-D4D3-437E-BFE1-4B8EE752BFCC}"/>
            </c:ext>
          </c:extLst>
        </c:ser>
        <c:dLbls>
          <c:showLegendKey val="0"/>
          <c:showVal val="0"/>
          <c:showCatName val="0"/>
          <c:showSerName val="0"/>
          <c:showPercent val="0"/>
          <c:showBubbleSize val="0"/>
        </c:dLbls>
        <c:gapWidth val="182"/>
        <c:axId val="582056432"/>
        <c:axId val="582048272"/>
      </c:barChart>
      <c:catAx>
        <c:axId val="582056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j-lt"/>
                <a:ea typeface="+mn-ea"/>
                <a:cs typeface="+mn-cs"/>
              </a:defRPr>
            </a:pPr>
            <a:endParaRPr lang="el-GR"/>
          </a:p>
        </c:txPr>
        <c:crossAx val="582048272"/>
        <c:crosses val="autoZero"/>
        <c:auto val="1"/>
        <c:lblAlgn val="ctr"/>
        <c:lblOffset val="100"/>
        <c:noMultiLvlLbl val="0"/>
      </c:catAx>
      <c:valAx>
        <c:axId val="582048272"/>
        <c:scaling>
          <c:orientation val="minMax"/>
        </c:scaling>
        <c:delete val="1"/>
        <c:axPos val="b"/>
        <c:numFmt formatCode="General" sourceLinked="1"/>
        <c:majorTickMark val="none"/>
        <c:minorTickMark val="none"/>
        <c:tickLblPos val="nextTo"/>
        <c:crossAx val="582056432"/>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f535d47c-6ef8-437d-8b0f-d9d4c2854662}"/>
      </c:ext>
    </c:extLst>
  </c:chart>
  <c:spPr>
    <a:solidFill>
      <a:schemeClr val="bg1"/>
    </a:solidFill>
    <a:ln w="9525" cap="flat" cmpd="sng" algn="ctr">
      <a:noFill/>
      <a:round/>
    </a:ln>
    <a:effectLst/>
  </c:spPr>
  <c:txPr>
    <a:bodyPr/>
    <a:lstStyle/>
    <a:p>
      <a:pPr>
        <a:defRPr lang="en-US"/>
      </a:pPr>
      <a:endParaRPr lang="el-G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FFC000"/>
              </a:solidFill>
              <a:round/>
            </a:ln>
            <a:effectLst/>
          </c:spPr>
          <c:marker>
            <c:symbol val="none"/>
          </c:marker>
          <c:dLbls>
            <c:dLbl>
              <c:idx val="0"/>
              <c:layout>
                <c:manualLayout>
                  <c:x val="-3.8693524524866282E-2"/>
                  <c:y val="-4.827808175088509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A73-4A04-849D-A2804B40FB1F}"/>
                </c:ext>
                <c:ext xmlns:c15="http://schemas.microsoft.com/office/drawing/2012/chart" uri="{CE6537A1-D6FC-4f65-9D91-7224C49458BB}"/>
              </c:extLst>
            </c:dLbl>
            <c:dLbl>
              <c:idx val="1"/>
              <c:layout>
                <c:manualLayout>
                  <c:x val="-4.7797883236599524E-2"/>
                  <c:y val="5.471515931766977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A73-4A04-849D-A2804B40FB1F}"/>
                </c:ext>
                <c:ext xmlns:c15="http://schemas.microsoft.com/office/drawing/2012/chart" uri="{CE6537A1-D6FC-4f65-9D91-7224C49458BB}"/>
              </c:extLst>
            </c:dLbl>
            <c:dLbl>
              <c:idx val="2"/>
              <c:layout>
                <c:manualLayout>
                  <c:x val="-2.9589165813132996E-2"/>
                  <c:y val="-3.862246540070807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A73-4A04-849D-A2804B40FB1F}"/>
                </c:ext>
                <c:ext xmlns:c15="http://schemas.microsoft.com/office/drawing/2012/chart" uri="{CE6537A1-D6FC-4f65-9D91-7224C49458BB}"/>
              </c:extLst>
            </c:dLbl>
            <c:dLbl>
              <c:idx val="3"/>
              <c:layout>
                <c:manualLayout>
                  <c:x val="-5.4626152270399499E-2"/>
                  <c:y val="4.827808175088504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A73-4A04-849D-A2804B40FB1F}"/>
                </c:ext>
                <c:ext xmlns:c15="http://schemas.microsoft.com/office/drawing/2012/chart" uri="{CE6537A1-D6FC-4f65-9D91-7224C49458BB}"/>
              </c:extLst>
            </c:dLbl>
            <c:dLbl>
              <c:idx val="4"/>
              <c:layout>
                <c:manualLayout>
                  <c:x val="-5.462615227039954E-2"/>
                  <c:y val="4.184100418410029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A73-4A04-849D-A2804B40FB1F}"/>
                </c:ext>
                <c:ext xmlns:c15="http://schemas.microsoft.com/office/drawing/2012/chart" uri="{CE6537A1-D6FC-4f65-9D91-7224C49458BB}"/>
              </c:extLst>
            </c:dLbl>
            <c:dLbl>
              <c:idx val="5"/>
              <c:layout>
                <c:manualLayout>
                  <c:x val="-6.1454421304199383E-2"/>
                  <c:y val="3.540392661731573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A73-4A04-849D-A2804B40FB1F}"/>
                </c:ext>
                <c:ext xmlns:c15="http://schemas.microsoft.com/office/drawing/2012/chart" uri="{CE6537A1-D6FC-4f65-9D91-7224C49458BB}"/>
              </c:extLst>
            </c:dLbl>
            <c:dLbl>
              <c:idx val="6"/>
              <c:layout>
                <c:manualLayout>
                  <c:x val="-4.7797883236599524E-2"/>
                  <c:y val="4.505954296749269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A73-4A04-849D-A2804B40FB1F}"/>
                </c:ext>
                <c:ext xmlns:c15="http://schemas.microsoft.com/office/drawing/2012/chart" uri="{CE6537A1-D6FC-4f65-9D91-7224C49458BB}"/>
              </c:extLst>
            </c:dLbl>
            <c:dLbl>
              <c:idx val="7"/>
              <c:layout>
                <c:manualLayout>
                  <c:x val="-4.5521793558666208E-2"/>
                  <c:y val="-4.505954296749276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A73-4A04-849D-A2804B40FB1F}"/>
                </c:ext>
                <c:ext xmlns:c15="http://schemas.microsoft.com/office/drawing/2012/chart" uri="{CE6537A1-D6FC-4f65-9D91-7224C49458BB}"/>
              </c:extLst>
            </c:dLbl>
            <c:dLbl>
              <c:idx val="8"/>
              <c:layout>
                <c:manualLayout>
                  <c:x val="-5.0073972914532916E-2"/>
                  <c:y val="4.184100418410036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A73-4A04-849D-A2804B40FB1F}"/>
                </c:ext>
                <c:ext xmlns:c15="http://schemas.microsoft.com/office/drawing/2012/chart" uri="{CE6537A1-D6FC-4f65-9D91-7224C49458BB}"/>
              </c:extLst>
            </c:dLbl>
            <c:dLbl>
              <c:idx val="9"/>
              <c:layout>
                <c:manualLayout>
                  <c:x val="-4.0969614202799758E-2"/>
                  <c:y val="-5.149662053427755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A73-4A04-849D-A2804B40FB1F}"/>
                </c:ext>
                <c:ext xmlns:c15="http://schemas.microsoft.com/office/drawing/2012/chart" uri="{CE6537A1-D6FC-4f65-9D91-7224C49458BB}"/>
              </c:extLst>
            </c:dLbl>
            <c:dLbl>
              <c:idx val="10"/>
              <c:layout>
                <c:manualLayout>
                  <c:x val="-2.7313076135199729E-2"/>
                  <c:y val="5.149662053427743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A73-4A04-849D-A2804B40FB1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200" b="0" i="0" u="none" strike="noStrike" kern="1200" baseline="0">
                    <a:solidFill>
                      <a:schemeClr val="tx1">
                        <a:lumMod val="75000"/>
                        <a:lumOff val="25000"/>
                      </a:schemeClr>
                    </a:solidFill>
                    <a:latin typeface="+mj-lt"/>
                    <a:ea typeface="+mn-ea"/>
                    <a:cs typeface="+mn-cs"/>
                  </a:defRPr>
                </a:pPr>
                <a:endParaRPr lang="el-GR"/>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'ΓΡΑΦΗΜΑ 5'!$B$6:$L$6</c:f>
              <c:numCache>
                <c:formatCode>####</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'ΓΡΑΦΗΜΑ 5'!$B$7:$L$7</c:f>
              <c:numCache>
                <c:formatCode>#,##0</c:formatCode>
                <c:ptCount val="11"/>
                <c:pt idx="0">
                  <c:v>3361</c:v>
                </c:pt>
                <c:pt idx="1">
                  <c:v>3018</c:v>
                </c:pt>
                <c:pt idx="2">
                  <c:v>2969</c:v>
                </c:pt>
                <c:pt idx="3">
                  <c:v>1950.48</c:v>
                </c:pt>
                <c:pt idx="4">
                  <c:v>1934.97</c:v>
                </c:pt>
                <c:pt idx="5">
                  <c:v>1883.64</c:v>
                </c:pt>
                <c:pt idx="6">
                  <c:v>1825.79</c:v>
                </c:pt>
                <c:pt idx="7">
                  <c:v>1977.06</c:v>
                </c:pt>
                <c:pt idx="8">
                  <c:v>1891.2</c:v>
                </c:pt>
                <c:pt idx="9">
                  <c:v>1906.62</c:v>
                </c:pt>
                <c:pt idx="10">
                  <c:v>1901</c:v>
                </c:pt>
              </c:numCache>
            </c:numRef>
          </c:val>
          <c:smooth val="0"/>
          <c:extLst xmlns:c16r2="http://schemas.microsoft.com/office/drawing/2015/06/chart">
            <c:ext xmlns:c16="http://schemas.microsoft.com/office/drawing/2014/chart" uri="{C3380CC4-5D6E-409C-BE32-E72D297353CC}">
              <c16:uniqueId val="{00000000-7A73-4A04-849D-A2804B40FB1F}"/>
            </c:ext>
          </c:extLst>
        </c:ser>
        <c:dLbls>
          <c:showLegendKey val="0"/>
          <c:showVal val="0"/>
          <c:showCatName val="0"/>
          <c:showSerName val="0"/>
          <c:showPercent val="0"/>
          <c:showBubbleSize val="0"/>
        </c:dLbls>
        <c:smooth val="0"/>
        <c:axId val="582050992"/>
        <c:axId val="582059152"/>
      </c:lineChart>
      <c:catAx>
        <c:axId val="582050992"/>
        <c:scaling>
          <c:orientation val="minMax"/>
        </c:scaling>
        <c:delete val="0"/>
        <c:axPos val="b"/>
        <c:numFmt formatCode="####"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j-lt"/>
                <a:ea typeface="+mn-ea"/>
                <a:cs typeface="+mn-cs"/>
              </a:defRPr>
            </a:pPr>
            <a:endParaRPr lang="el-GR"/>
          </a:p>
        </c:txPr>
        <c:crossAx val="582059152"/>
        <c:crosses val="autoZero"/>
        <c:auto val="1"/>
        <c:lblAlgn val="ctr"/>
        <c:lblOffset val="100"/>
        <c:noMultiLvlLbl val="0"/>
      </c:catAx>
      <c:valAx>
        <c:axId val="582059152"/>
        <c:scaling>
          <c:orientation val="minMax"/>
          <c:max val="3500"/>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82050992"/>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a70bbf8c-e191-4ac3-bf5b-b608b29dfa28}"/>
      </c:ext>
    </c:extLst>
  </c:chart>
  <c:spPr>
    <a:solidFill>
      <a:schemeClr val="bg1"/>
    </a:solidFill>
    <a:ln w="9525" cap="flat" cmpd="sng" algn="ctr">
      <a:noFill/>
      <a:round/>
    </a:ln>
    <a:effectLst/>
  </c:spPr>
  <c:txPr>
    <a:bodyPr/>
    <a:lstStyle/>
    <a:p>
      <a:pPr>
        <a:defRPr lang="en-US"/>
      </a:pPr>
      <a:endParaRPr lang="el-G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tx1">
                <a:lumMod val="50000"/>
                <a:lumOff val="50000"/>
              </a:schemeClr>
            </a:solidFill>
            <a:ln>
              <a:noFill/>
            </a:ln>
            <a:effectLst/>
          </c:spPr>
          <c:invertIfNegative val="0"/>
          <c:dPt>
            <c:idx val="1"/>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2-20C2-47DD-89E1-084F0FAA8074}"/>
              </c:ext>
            </c:extLst>
          </c:dPt>
          <c:dPt>
            <c:idx val="14"/>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1-20C2-47DD-89E1-084F0FAA8074}"/>
              </c:ext>
            </c:extLst>
          </c:dPt>
          <c:dLbls>
            <c:dLbl>
              <c:idx val="1"/>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mj-lt"/>
                      <a:ea typeface="+mn-ea"/>
                      <a:cs typeface="+mn-cs"/>
                    </a:defRPr>
                  </a:pPr>
                  <a:endParaRPr lang="el-GR"/>
                </a:p>
              </c:txPr>
              <c:dLblPos val="outEnd"/>
              <c:showLegendKey val="0"/>
              <c:showVal val="1"/>
              <c:showCatName val="0"/>
              <c:showSerName val="0"/>
              <c:showPercent val="0"/>
              <c:showBubbleSize val="0"/>
            </c:dLbl>
            <c:dLbl>
              <c:idx val="14"/>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mj-lt"/>
                      <a:ea typeface="+mn-ea"/>
                      <a:cs typeface="+mn-cs"/>
                    </a:defRPr>
                  </a:pPr>
                  <a:endParaRPr lang="el-GR"/>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lang="en-US" sz="1200" b="0" i="0" u="none" strike="noStrike" kern="1200" baseline="0">
                    <a:solidFill>
                      <a:schemeClr val="tx1">
                        <a:lumMod val="75000"/>
                        <a:lumOff val="25000"/>
                      </a:schemeClr>
                    </a:solidFill>
                    <a:latin typeface="+mj-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6'!$D$12:$D$39</c:f>
              <c:strCache>
                <c:ptCount val="28"/>
                <c:pt idx="0">
                  <c:v>κύπρος</c:v>
                </c:pt>
                <c:pt idx="1">
                  <c:v>Ελλάδα</c:v>
                </c:pt>
                <c:pt idx="2">
                  <c:v>Μάλτα</c:v>
                </c:pt>
                <c:pt idx="3">
                  <c:v>Πολωνία</c:v>
                </c:pt>
                <c:pt idx="4">
                  <c:v>Ρουμανία</c:v>
                </c:pt>
                <c:pt idx="5">
                  <c:v>Ουγγαρία</c:v>
                </c:pt>
                <c:pt idx="6">
                  <c:v>Ιταλία</c:v>
                </c:pt>
                <c:pt idx="7">
                  <c:v>Σλοβενία</c:v>
                </c:pt>
                <c:pt idx="8">
                  <c:v>Αυστρία</c:v>
                </c:pt>
                <c:pt idx="9">
                  <c:v>Ιρλανδία</c:v>
                </c:pt>
                <c:pt idx="10">
                  <c:v>Τσεχία</c:v>
                </c:pt>
                <c:pt idx="11">
                  <c:v>Ισπανία</c:v>
                </c:pt>
                <c:pt idx="12">
                  <c:v>Γαλλία</c:v>
                </c:pt>
                <c:pt idx="13">
                  <c:v>Πορτογαλία</c:v>
                </c:pt>
                <c:pt idx="14">
                  <c:v>ΕΕ (27)</c:v>
                </c:pt>
                <c:pt idx="15">
                  <c:v>Γερμανία</c:v>
                </c:pt>
                <c:pt idx="16">
                  <c:v>Σλοβακία</c:v>
                </c:pt>
                <c:pt idx="17">
                  <c:v>Λιθουανία</c:v>
                </c:pt>
                <c:pt idx="18">
                  <c:v>Λετονία</c:v>
                </c:pt>
                <c:pt idx="19">
                  <c:v>Ολλανδία</c:v>
                </c:pt>
                <c:pt idx="20">
                  <c:v>Κροατία</c:v>
                </c:pt>
                <c:pt idx="21">
                  <c:v>Σουηδία</c:v>
                </c:pt>
                <c:pt idx="22">
                  <c:v>Φιλανδία</c:v>
                </c:pt>
                <c:pt idx="23">
                  <c:v>Βουλγαρία</c:v>
                </c:pt>
                <c:pt idx="24">
                  <c:v>Βέλγιο</c:v>
                </c:pt>
                <c:pt idx="25">
                  <c:v>Εσθονία</c:v>
                </c:pt>
                <c:pt idx="26">
                  <c:v>Λουξεμβούργο</c:v>
                </c:pt>
                <c:pt idx="27">
                  <c:v>Δανία</c:v>
                </c:pt>
              </c:strCache>
            </c:strRef>
          </c:cat>
          <c:val>
            <c:numRef>
              <c:f>'ΓΡΑΦΗΜΑ 6'!$E$12:$E$39</c:f>
              <c:numCache>
                <c:formatCode>General</c:formatCode>
                <c:ptCount val="28"/>
                <c:pt idx="0">
                  <c:v>3.52</c:v>
                </c:pt>
                <c:pt idx="1">
                  <c:v>3.83</c:v>
                </c:pt>
                <c:pt idx="2">
                  <c:v>3.96</c:v>
                </c:pt>
                <c:pt idx="3">
                  <c:v>4.67</c:v>
                </c:pt>
                <c:pt idx="4">
                  <c:v>4.9400000000000004</c:v>
                </c:pt>
                <c:pt idx="5">
                  <c:v>5.0199999999999996</c:v>
                </c:pt>
                <c:pt idx="6">
                  <c:v>5.3</c:v>
                </c:pt>
                <c:pt idx="7">
                  <c:v>5.31</c:v>
                </c:pt>
                <c:pt idx="8">
                  <c:v>5.32</c:v>
                </c:pt>
                <c:pt idx="9">
                  <c:v>5.47</c:v>
                </c:pt>
                <c:pt idx="10">
                  <c:v>5.92</c:v>
                </c:pt>
                <c:pt idx="11">
                  <c:v>6.3</c:v>
                </c:pt>
                <c:pt idx="12">
                  <c:v>6.32</c:v>
                </c:pt>
                <c:pt idx="13">
                  <c:v>6.69</c:v>
                </c:pt>
                <c:pt idx="14">
                  <c:v>6.96</c:v>
                </c:pt>
                <c:pt idx="15">
                  <c:v>7.14</c:v>
                </c:pt>
                <c:pt idx="16">
                  <c:v>7.48</c:v>
                </c:pt>
                <c:pt idx="17">
                  <c:v>8.01</c:v>
                </c:pt>
                <c:pt idx="18">
                  <c:v>8.5</c:v>
                </c:pt>
                <c:pt idx="19">
                  <c:v>8.64</c:v>
                </c:pt>
                <c:pt idx="20">
                  <c:v>8.7200000000000006</c:v>
                </c:pt>
                <c:pt idx="21">
                  <c:v>8.81</c:v>
                </c:pt>
                <c:pt idx="22">
                  <c:v>8.9499999999999993</c:v>
                </c:pt>
                <c:pt idx="23">
                  <c:v>9.31</c:v>
                </c:pt>
                <c:pt idx="24">
                  <c:v>9.81</c:v>
                </c:pt>
                <c:pt idx="25">
                  <c:v>10.57</c:v>
                </c:pt>
                <c:pt idx="26">
                  <c:v>11.18</c:v>
                </c:pt>
                <c:pt idx="27">
                  <c:v>17.399999999999999</c:v>
                </c:pt>
              </c:numCache>
            </c:numRef>
          </c:val>
          <c:extLst xmlns:c16r2="http://schemas.microsoft.com/office/drawing/2015/06/chart">
            <c:ext xmlns:c16="http://schemas.microsoft.com/office/drawing/2014/chart" uri="{C3380CC4-5D6E-409C-BE32-E72D297353CC}">
              <c16:uniqueId val="{00000000-20C2-47DD-89E1-084F0FAA8074}"/>
            </c:ext>
          </c:extLst>
        </c:ser>
        <c:dLbls>
          <c:showLegendKey val="0"/>
          <c:showVal val="0"/>
          <c:showCatName val="0"/>
          <c:showSerName val="0"/>
          <c:showPercent val="0"/>
          <c:showBubbleSize val="0"/>
        </c:dLbls>
        <c:gapWidth val="182"/>
        <c:axId val="582056976"/>
        <c:axId val="582051536"/>
      </c:barChart>
      <c:catAx>
        <c:axId val="582056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j-lt"/>
                <a:ea typeface="+mn-ea"/>
                <a:cs typeface="+mn-cs"/>
              </a:defRPr>
            </a:pPr>
            <a:endParaRPr lang="el-GR"/>
          </a:p>
        </c:txPr>
        <c:crossAx val="582051536"/>
        <c:crosses val="autoZero"/>
        <c:auto val="1"/>
        <c:lblAlgn val="ctr"/>
        <c:lblOffset val="100"/>
        <c:noMultiLvlLbl val="0"/>
      </c:catAx>
      <c:valAx>
        <c:axId val="582051536"/>
        <c:scaling>
          <c:orientation val="minMax"/>
        </c:scaling>
        <c:delete val="1"/>
        <c:axPos val="b"/>
        <c:numFmt formatCode="General" sourceLinked="1"/>
        <c:majorTickMark val="none"/>
        <c:minorTickMark val="none"/>
        <c:tickLblPos val="nextTo"/>
        <c:crossAx val="582056976"/>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717b8cbf-0beb-46be-99bf-b5160b70f6ca}"/>
      </c:ext>
    </c:extLst>
  </c:chart>
  <c:spPr>
    <a:solidFill>
      <a:schemeClr val="bg1"/>
    </a:solidFill>
    <a:ln w="9525" cap="flat" cmpd="sng" algn="ctr">
      <a:noFill/>
      <a:round/>
    </a:ln>
    <a:effectLst/>
  </c:spPr>
  <c:txPr>
    <a:bodyPr/>
    <a:lstStyle/>
    <a:p>
      <a:pPr>
        <a:defRPr lang="en-US"/>
      </a:pPr>
      <a:endParaRPr lang="el-G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tx1">
                <a:lumMod val="50000"/>
                <a:lumOff val="50000"/>
              </a:schemeClr>
            </a:solidFill>
            <a:ln>
              <a:noFill/>
            </a:ln>
            <a:effectLst/>
          </c:spPr>
          <c:invertIfNegative val="0"/>
          <c:dPt>
            <c:idx val="1"/>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2-65B3-4FBC-83CC-D9B17539089C}"/>
              </c:ext>
            </c:extLst>
          </c:dPt>
          <c:dPt>
            <c:idx val="18"/>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1-65B3-4FBC-83CC-D9B17539089C}"/>
              </c:ext>
            </c:extLst>
          </c:dPt>
          <c:dLbls>
            <c:spPr>
              <a:noFill/>
              <a:ln>
                <a:noFill/>
              </a:ln>
              <a:effectLst/>
            </c:spPr>
            <c:txPr>
              <a:bodyPr rot="0" spcFirstLastPara="1" vertOverflow="ellipsis" vert="horz" wrap="square" lIns="38100" tIns="19050" rIns="38100" bIns="19050" anchor="ctr" anchorCtr="1">
                <a:spAutoFit/>
              </a:bodyPr>
              <a:lstStyle/>
              <a:p>
                <a:pPr>
                  <a:defRPr lang="en-US" sz="12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7'!$D$45:$D$72</c:f>
              <c:strCache>
                <c:ptCount val="28"/>
                <c:pt idx="0">
                  <c:v>Μάλτα</c:v>
                </c:pt>
                <c:pt idx="1">
                  <c:v>Ελλάδα</c:v>
                </c:pt>
                <c:pt idx="2">
                  <c:v>Ρουμανία</c:v>
                </c:pt>
                <c:pt idx="3">
                  <c:v>Κύπρος</c:v>
                </c:pt>
                <c:pt idx="4">
                  <c:v>Ουγγαρία</c:v>
                </c:pt>
                <c:pt idx="5">
                  <c:v>Πολωνία</c:v>
                </c:pt>
                <c:pt idx="6">
                  <c:v>Σλοβακία</c:v>
                </c:pt>
                <c:pt idx="7">
                  <c:v>Τσεχία</c:v>
                </c:pt>
                <c:pt idx="8">
                  <c:v>Σλοβενία</c:v>
                </c:pt>
                <c:pt idx="9">
                  <c:v>Λετονία</c:v>
                </c:pt>
                <c:pt idx="10">
                  <c:v>Βουλγαρία</c:v>
                </c:pt>
                <c:pt idx="11">
                  <c:v>Λιθουανία</c:v>
                </c:pt>
                <c:pt idx="12">
                  <c:v>Ιρλανδία</c:v>
                </c:pt>
                <c:pt idx="13">
                  <c:v>Πορτογαλία</c:v>
                </c:pt>
                <c:pt idx="14">
                  <c:v>Κροατία</c:v>
                </c:pt>
                <c:pt idx="15">
                  <c:v>Εσθονία</c:v>
                </c:pt>
                <c:pt idx="16">
                  <c:v>Ισπανία</c:v>
                </c:pt>
                <c:pt idx="17">
                  <c:v>Ιταλία</c:v>
                </c:pt>
                <c:pt idx="18">
                  <c:v>ΕΕ (27)</c:v>
                </c:pt>
                <c:pt idx="19">
                  <c:v>Αυστρία</c:v>
                </c:pt>
                <c:pt idx="20">
                  <c:v>Γαλλία</c:v>
                </c:pt>
                <c:pt idx="21">
                  <c:v>Γερμανία</c:v>
                </c:pt>
                <c:pt idx="22">
                  <c:v>Σουηδία</c:v>
                </c:pt>
                <c:pt idx="23">
                  <c:v>Φινλανδία</c:v>
                </c:pt>
                <c:pt idx="24">
                  <c:v>Ολλανδία</c:v>
                </c:pt>
                <c:pt idx="25">
                  <c:v>Βέλγιο</c:v>
                </c:pt>
                <c:pt idx="26">
                  <c:v>Λουξεμβούργο</c:v>
                </c:pt>
                <c:pt idx="27">
                  <c:v>Δανία</c:v>
                </c:pt>
              </c:strCache>
            </c:strRef>
          </c:cat>
          <c:val>
            <c:numRef>
              <c:f>'ΓΡΑΦΗΜΑ 7'!$E$45:$E$72</c:f>
              <c:numCache>
                <c:formatCode>#,##0.##########</c:formatCode>
                <c:ptCount val="28"/>
                <c:pt idx="0">
                  <c:v>209.3</c:v>
                </c:pt>
                <c:pt idx="1">
                  <c:v>215.81</c:v>
                </c:pt>
                <c:pt idx="2">
                  <c:v>222.77</c:v>
                </c:pt>
                <c:pt idx="3">
                  <c:v>223.21</c:v>
                </c:pt>
                <c:pt idx="4">
                  <c:v>233.55</c:v>
                </c:pt>
                <c:pt idx="5">
                  <c:v>292.31</c:v>
                </c:pt>
                <c:pt idx="6">
                  <c:v>339.17</c:v>
                </c:pt>
                <c:pt idx="7">
                  <c:v>373.16</c:v>
                </c:pt>
                <c:pt idx="8">
                  <c:v>389.89</c:v>
                </c:pt>
                <c:pt idx="9">
                  <c:v>396.53</c:v>
                </c:pt>
                <c:pt idx="10">
                  <c:v>411.57</c:v>
                </c:pt>
                <c:pt idx="11">
                  <c:v>415.85</c:v>
                </c:pt>
                <c:pt idx="12">
                  <c:v>421.69</c:v>
                </c:pt>
                <c:pt idx="13">
                  <c:v>432.61</c:v>
                </c:pt>
                <c:pt idx="14">
                  <c:v>458.52</c:v>
                </c:pt>
                <c:pt idx="15">
                  <c:v>467.31</c:v>
                </c:pt>
                <c:pt idx="16">
                  <c:v>492.28</c:v>
                </c:pt>
                <c:pt idx="17">
                  <c:v>515.15</c:v>
                </c:pt>
                <c:pt idx="18">
                  <c:v>672.44</c:v>
                </c:pt>
                <c:pt idx="19">
                  <c:v>678.76</c:v>
                </c:pt>
                <c:pt idx="20">
                  <c:v>718.75</c:v>
                </c:pt>
                <c:pt idx="21">
                  <c:v>896.48</c:v>
                </c:pt>
                <c:pt idx="22">
                  <c:v>950.44</c:v>
                </c:pt>
                <c:pt idx="23">
                  <c:v>983.7</c:v>
                </c:pt>
                <c:pt idx="24">
                  <c:v>1030.28</c:v>
                </c:pt>
                <c:pt idx="25">
                  <c:v>1075.6600000000001</c:v>
                </c:pt>
                <c:pt idx="26">
                  <c:v>1873.62</c:v>
                </c:pt>
                <c:pt idx="27">
                  <c:v>2062.6</c:v>
                </c:pt>
              </c:numCache>
            </c:numRef>
          </c:val>
          <c:extLst xmlns:c16r2="http://schemas.microsoft.com/office/drawing/2015/06/chart">
            <c:ext xmlns:c16="http://schemas.microsoft.com/office/drawing/2014/chart" uri="{C3380CC4-5D6E-409C-BE32-E72D297353CC}">
              <c16:uniqueId val="{00000000-65B3-4FBC-83CC-D9B17539089C}"/>
            </c:ext>
          </c:extLst>
        </c:ser>
        <c:dLbls>
          <c:showLegendKey val="0"/>
          <c:showVal val="0"/>
          <c:showCatName val="0"/>
          <c:showSerName val="0"/>
          <c:showPercent val="0"/>
          <c:showBubbleSize val="0"/>
        </c:dLbls>
        <c:gapWidth val="182"/>
        <c:axId val="582047184"/>
        <c:axId val="582045008"/>
      </c:barChart>
      <c:catAx>
        <c:axId val="582047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endParaRPr lang="el-GR"/>
          </a:p>
        </c:txPr>
        <c:crossAx val="582045008"/>
        <c:crosses val="autoZero"/>
        <c:auto val="1"/>
        <c:lblAlgn val="ctr"/>
        <c:lblOffset val="100"/>
        <c:noMultiLvlLbl val="0"/>
      </c:catAx>
      <c:valAx>
        <c:axId val="582045008"/>
        <c:scaling>
          <c:orientation val="minMax"/>
        </c:scaling>
        <c:delete val="1"/>
        <c:axPos val="b"/>
        <c:numFmt formatCode="#,##0.##########" sourceLinked="1"/>
        <c:majorTickMark val="none"/>
        <c:minorTickMark val="none"/>
        <c:tickLblPos val="nextTo"/>
        <c:crossAx val="582047184"/>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bb62dbad-f0e5-4c7e-ba1d-3454d253b4b5}"/>
      </c:ext>
    </c:extLst>
  </c:chart>
  <c:spPr>
    <a:solidFill>
      <a:schemeClr val="bg1"/>
    </a:solidFill>
    <a:ln w="9525" cap="flat" cmpd="sng" algn="ctr">
      <a:noFill/>
      <a:round/>
    </a:ln>
    <a:effectLst/>
  </c:spPr>
  <c:txPr>
    <a:bodyPr/>
    <a:lstStyle/>
    <a:p>
      <a:pPr>
        <a:defRPr lang="en-US"/>
      </a:pPr>
      <a:endParaRPr lang="el-G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2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8'!$B$12:$K$12</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'ΓΡΑΦΗΜΑ 8'!$B$13:$K$13</c:f>
              <c:numCache>
                <c:formatCode>#,##0</c:formatCode>
                <c:ptCount val="10"/>
                <c:pt idx="0">
                  <c:v>114376</c:v>
                </c:pt>
                <c:pt idx="1">
                  <c:v>127279</c:v>
                </c:pt>
                <c:pt idx="2">
                  <c:v>132562</c:v>
                </c:pt>
                <c:pt idx="3">
                  <c:v>126797</c:v>
                </c:pt>
                <c:pt idx="4">
                  <c:v>122178</c:v>
                </c:pt>
                <c:pt idx="5">
                  <c:v>121612</c:v>
                </c:pt>
                <c:pt idx="6">
                  <c:v>117576</c:v>
                </c:pt>
                <c:pt idx="7">
                  <c:v>113064</c:v>
                </c:pt>
                <c:pt idx="8">
                  <c:v>108173</c:v>
                </c:pt>
                <c:pt idx="9">
                  <c:v>105692</c:v>
                </c:pt>
              </c:numCache>
            </c:numRef>
          </c:val>
          <c:extLst xmlns:c16r2="http://schemas.microsoft.com/office/drawing/2015/06/chart">
            <c:ext xmlns:c16="http://schemas.microsoft.com/office/drawing/2014/chart" uri="{C3380CC4-5D6E-409C-BE32-E72D297353CC}">
              <c16:uniqueId val="{00000000-B09F-4953-B432-14B4E4BD5D6C}"/>
            </c:ext>
          </c:extLst>
        </c:ser>
        <c:dLbls>
          <c:showLegendKey val="0"/>
          <c:showVal val="0"/>
          <c:showCatName val="0"/>
          <c:showSerName val="0"/>
          <c:showPercent val="0"/>
          <c:showBubbleSize val="0"/>
        </c:dLbls>
        <c:gapWidth val="219"/>
        <c:overlap val="-27"/>
        <c:axId val="582046640"/>
        <c:axId val="582052080"/>
      </c:barChart>
      <c:catAx>
        <c:axId val="58204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endParaRPr lang="el-GR"/>
          </a:p>
        </c:txPr>
        <c:crossAx val="582052080"/>
        <c:crosses val="autoZero"/>
        <c:auto val="1"/>
        <c:lblAlgn val="ctr"/>
        <c:lblOffset val="100"/>
        <c:noMultiLvlLbl val="0"/>
      </c:catAx>
      <c:valAx>
        <c:axId val="582052080"/>
        <c:scaling>
          <c:orientation val="minMax"/>
        </c:scaling>
        <c:delete val="1"/>
        <c:axPos val="l"/>
        <c:numFmt formatCode="#,##0" sourceLinked="1"/>
        <c:majorTickMark val="none"/>
        <c:minorTickMark val="none"/>
        <c:tickLblPos val="nextTo"/>
        <c:crossAx val="582046640"/>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ea6cd7f7-2a1e-4176-a0aa-266e5c01239c}"/>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l-G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50000"/>
              </a:schemeClr>
            </a:solidFill>
            <a:ln>
              <a:noFill/>
            </a:ln>
            <a:effectLst/>
          </c:spPr>
          <c:invertIfNegative val="0"/>
          <c:dPt>
            <c:idx val="0"/>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2-374D-4C16-8A2C-9BDDE3B7AF45}"/>
              </c:ext>
            </c:extLst>
          </c:dPt>
          <c:dPt>
            <c:idx val="12"/>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1-374D-4C16-8A2C-9BDDE3B7AF45}"/>
              </c:ext>
            </c:extLst>
          </c:dPt>
          <c:dLbls>
            <c:dLbl>
              <c:idx val="0"/>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dLbl>
            <c:dLbl>
              <c:idx val="12"/>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lang="en-US" sz="12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Φύλλο1!$B$3:$B$30</c:f>
              <c:strCache>
                <c:ptCount val="28"/>
                <c:pt idx="0">
                  <c:v>Ελλάδα</c:v>
                </c:pt>
                <c:pt idx="1">
                  <c:v>Ισπανία</c:v>
                </c:pt>
                <c:pt idx="2">
                  <c:v>Μάλτα</c:v>
                </c:pt>
                <c:pt idx="3">
                  <c:v>Γερμανία</c:v>
                </c:pt>
                <c:pt idx="4">
                  <c:v>Δανία</c:v>
                </c:pt>
                <c:pt idx="5">
                  <c:v>Ολλανδία</c:v>
                </c:pt>
                <c:pt idx="6">
                  <c:v>Λετονία</c:v>
                </c:pt>
                <c:pt idx="7">
                  <c:v>Φινλανδία</c:v>
                </c:pt>
                <c:pt idx="8">
                  <c:v>Ρουμανία</c:v>
                </c:pt>
                <c:pt idx="9">
                  <c:v>Ιταλία</c:v>
                </c:pt>
                <c:pt idx="10">
                  <c:v>Λιθουανία</c:v>
                </c:pt>
                <c:pt idx="11">
                  <c:v>Πορτογαλία</c:v>
                </c:pt>
                <c:pt idx="12">
                  <c:v>ΕΕ- 27</c:v>
                </c:pt>
                <c:pt idx="13">
                  <c:v>Εσθονία</c:v>
                </c:pt>
                <c:pt idx="14">
                  <c:v>Σουηδία</c:v>
                </c:pt>
                <c:pt idx="15">
                  <c:v>Ουγγαρία</c:v>
                </c:pt>
                <c:pt idx="16">
                  <c:v>Βουλγαρία</c:v>
                </c:pt>
                <c:pt idx="17">
                  <c:v>Γαλλία</c:v>
                </c:pt>
                <c:pt idx="18">
                  <c:v>Κύπρος</c:v>
                </c:pt>
                <c:pt idx="19">
                  <c:v>Ιρλανδία</c:v>
                </c:pt>
                <c:pt idx="20">
                  <c:v>Λουξεμβούργο</c:v>
                </c:pt>
                <c:pt idx="21">
                  <c:v>Βέλγιο</c:v>
                </c:pt>
                <c:pt idx="22">
                  <c:v>Κροατία</c:v>
                </c:pt>
                <c:pt idx="23">
                  <c:v>Τσεχία</c:v>
                </c:pt>
                <c:pt idx="24">
                  <c:v>Αυστρία</c:v>
                </c:pt>
                <c:pt idx="25">
                  <c:v>Πολωνία</c:v>
                </c:pt>
                <c:pt idx="26">
                  <c:v>Σλοβενία</c:v>
                </c:pt>
                <c:pt idx="27">
                  <c:v>Σλοβακία</c:v>
                </c:pt>
              </c:strCache>
            </c:strRef>
          </c:cat>
          <c:val>
            <c:numRef>
              <c:f>Φύλλο1!$C$3:$C$30</c:f>
              <c:numCache>
                <c:formatCode>#,##0.00</c:formatCode>
                <c:ptCount val="28"/>
                <c:pt idx="0">
                  <c:v>5.3</c:v>
                </c:pt>
                <c:pt idx="1">
                  <c:v>6.8</c:v>
                </c:pt>
                <c:pt idx="2">
                  <c:v>6.9000000000000101</c:v>
                </c:pt>
                <c:pt idx="3">
                  <c:v>7.9</c:v>
                </c:pt>
                <c:pt idx="4">
                  <c:v>8.3000000000000007</c:v>
                </c:pt>
                <c:pt idx="5">
                  <c:v>8.6</c:v>
                </c:pt>
                <c:pt idx="6">
                  <c:v>10.3</c:v>
                </c:pt>
                <c:pt idx="7">
                  <c:v>10.9</c:v>
                </c:pt>
                <c:pt idx="8">
                  <c:v>11.1</c:v>
                </c:pt>
                <c:pt idx="9">
                  <c:v>11.3</c:v>
                </c:pt>
                <c:pt idx="10">
                  <c:v>11.4</c:v>
                </c:pt>
                <c:pt idx="11">
                  <c:v>12.1</c:v>
                </c:pt>
                <c:pt idx="12">
                  <c:v>12.4</c:v>
                </c:pt>
                <c:pt idx="13">
                  <c:v>12.6</c:v>
                </c:pt>
                <c:pt idx="14">
                  <c:v>12.8</c:v>
                </c:pt>
                <c:pt idx="15">
                  <c:v>13.7</c:v>
                </c:pt>
                <c:pt idx="16">
                  <c:v>14.1</c:v>
                </c:pt>
                <c:pt idx="17">
                  <c:v>14.2</c:v>
                </c:pt>
                <c:pt idx="18">
                  <c:v>16.399999999999999</c:v>
                </c:pt>
                <c:pt idx="19">
                  <c:v>16.7</c:v>
                </c:pt>
                <c:pt idx="20">
                  <c:v>16.8</c:v>
                </c:pt>
                <c:pt idx="21">
                  <c:v>17.399999999999999</c:v>
                </c:pt>
                <c:pt idx="22">
                  <c:v>17.600000000000001</c:v>
                </c:pt>
                <c:pt idx="23">
                  <c:v>19.8</c:v>
                </c:pt>
                <c:pt idx="24">
                  <c:v>22.1</c:v>
                </c:pt>
                <c:pt idx="25">
                  <c:v>23.2</c:v>
                </c:pt>
                <c:pt idx="26">
                  <c:v>24.2</c:v>
                </c:pt>
                <c:pt idx="27">
                  <c:v>30.1</c:v>
                </c:pt>
              </c:numCache>
            </c:numRef>
          </c:val>
          <c:extLst xmlns:c16r2="http://schemas.microsoft.com/office/drawing/2015/06/chart">
            <c:ext xmlns:c16="http://schemas.microsoft.com/office/drawing/2014/chart" uri="{C3380CC4-5D6E-409C-BE32-E72D297353CC}">
              <c16:uniqueId val="{00000000-374D-4C16-8A2C-9BDDE3B7AF45}"/>
            </c:ext>
          </c:extLst>
        </c:ser>
        <c:dLbls>
          <c:showLegendKey val="0"/>
          <c:showVal val="1"/>
          <c:showCatName val="0"/>
          <c:showSerName val="0"/>
          <c:showPercent val="0"/>
          <c:showBubbleSize val="0"/>
        </c:dLbls>
        <c:gapWidth val="219"/>
        <c:axId val="582054256"/>
        <c:axId val="582054800"/>
      </c:barChart>
      <c:catAx>
        <c:axId val="582054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endParaRPr lang="el-GR"/>
          </a:p>
        </c:txPr>
        <c:crossAx val="582054800"/>
        <c:crosses val="autoZero"/>
        <c:auto val="1"/>
        <c:lblAlgn val="ctr"/>
        <c:lblOffset val="100"/>
        <c:noMultiLvlLbl val="0"/>
      </c:catAx>
      <c:valAx>
        <c:axId val="582054800"/>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82054256"/>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3fbf95b7-4835-4452-9a12-71828ca235f1}"/>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C2F13-785B-4A67-AC2A-CE773938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4939</Words>
  <Characters>26676</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15ο ΔΕΛΤΙΟ ΣΤΑΤΙΣΤΙΚΗΣ ΠΛΗΡΟΦΟΡΗΣΗΣ:</vt:lpstr>
    </vt:vector>
  </TitlesOfParts>
  <Company>Εθνική Συνομοσπονδία Ατόμων με Αναπηρία (Ε.Σ.Α.μεΑ.)</Company>
  <LinksUpToDate>false</LinksUpToDate>
  <CharactersWithSpaces>31552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15ο ΔΕΛΤΙΟ ΣΤΑΤΙΣΤΙΚΗΣ ΠΛΗΡΟΦΟΡΗΣΗΣ:</dc:title>
  <dc:subject>ΑΤΟΜΑ ΜΕ ΑΝΑΠΗΡΙΑ ΚΑΙ ΧΡΗΣΗ ΤΕΧΝΟΛΟΓΙΩΝ ΠΛΗΡΟΦΟΡΗΣΗΣ ΚΑΙ ΕΠΙΚΟΙΝΩΝΙΑΣ</dc:subject>
  <dc:creator>Παρατηρητήριο Θεμάτων Αναπηρίας</dc:creator>
  <dc:description>Το παρόν αρχείο ελέγχθηκε με το εργαλείο Microsoft Accessibility Checker και δεν βρέθηκαν θέματα προσβασιμότητας. Τα άτομα με αναπηρία δεν θα αντιμετωπίζουν δυσκολίες στην ανάγνωσή του.</dc:description>
  <cp:lastModifiedBy>tania</cp:lastModifiedBy>
  <cp:revision>3</cp:revision>
  <cp:lastPrinted>2023-09-24T08:26:00Z</cp:lastPrinted>
  <dcterms:created xsi:type="dcterms:W3CDTF">2025-07-02T07:31:00Z</dcterms:created>
  <dcterms:modified xsi:type="dcterms:W3CDTF">2025-07-02T07:32:00Z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C1F88C6F852A4891A082C95642813D91_13</vt:lpwstr>
  </property>
</Properties>
</file>