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13414" w14:textId="77777777" w:rsidR="007D51AE" w:rsidRDefault="007D51AE">
      <w:pPr>
        <w:spacing w:before="240"/>
        <w:ind w:left="426" w:right="-1"/>
        <w:jc w:val="right"/>
        <w:rPr>
          <w:b/>
          <w:lang w:val="el-GR"/>
        </w:rPr>
      </w:pPr>
    </w:p>
    <w:p w14:paraId="4897C51F" w14:textId="2D67F2C7" w:rsidR="007D51AE" w:rsidRDefault="00000000">
      <w:pPr>
        <w:spacing w:before="240"/>
        <w:ind w:left="426" w:right="-1"/>
        <w:jc w:val="right"/>
        <w:rPr>
          <w:b/>
          <w:lang w:val="el-GR"/>
        </w:rPr>
      </w:pPr>
      <w:r w:rsidRPr="00403188">
        <w:rPr>
          <w:b/>
          <w:lang w:val="el-GR"/>
        </w:rPr>
        <w:t xml:space="preserve">Αθήνα: </w:t>
      </w:r>
      <w:r w:rsidR="00403188" w:rsidRPr="00403188">
        <w:rPr>
          <w:b/>
          <w:lang w:val="el-GR"/>
        </w:rPr>
        <w:t>18</w:t>
      </w:r>
      <w:r w:rsidRPr="00403188">
        <w:rPr>
          <w:b/>
          <w:lang w:val="el-GR"/>
        </w:rPr>
        <w:t>/</w:t>
      </w:r>
      <w:r w:rsidR="00403188" w:rsidRPr="00403188">
        <w:rPr>
          <w:b/>
          <w:lang w:val="el-GR"/>
        </w:rPr>
        <w:t>09</w:t>
      </w:r>
      <w:r w:rsidRPr="00403188">
        <w:rPr>
          <w:b/>
          <w:lang w:val="el-GR"/>
        </w:rPr>
        <w:t>/2023</w:t>
      </w:r>
    </w:p>
    <w:p w14:paraId="017218A6" w14:textId="77777777" w:rsidR="007D51AE" w:rsidRDefault="00000000">
      <w:pPr>
        <w:pStyle w:val="af0"/>
        <w:jc w:val="center"/>
        <w:rPr>
          <w:sz w:val="30"/>
          <w:szCs w:val="30"/>
          <w:lang w:val="el-GR"/>
        </w:rPr>
      </w:pPr>
      <w:r>
        <w:rPr>
          <w:b/>
          <w:bCs/>
          <w:sz w:val="30"/>
          <w:szCs w:val="30"/>
          <w:lang w:val="el-GR"/>
        </w:rPr>
        <w:t>14</w:t>
      </w:r>
      <w:r>
        <w:rPr>
          <w:b/>
          <w:bCs/>
          <w:sz w:val="30"/>
          <w:szCs w:val="30"/>
          <w:vertAlign w:val="superscript"/>
          <w:lang w:val="el-GR"/>
        </w:rPr>
        <w:t>ο</w:t>
      </w:r>
      <w:r>
        <w:rPr>
          <w:b/>
          <w:bCs/>
          <w:sz w:val="30"/>
          <w:szCs w:val="30"/>
          <w:lang w:val="el-GR"/>
        </w:rPr>
        <w:t xml:space="preserve"> ΔΕΛΤΙΟ ΣΤΑΤΙΣΤΙΚΗΣ ΠΛΗΡΟΦΟΡΗΣΗΣ: </w:t>
      </w:r>
      <w:r>
        <w:rPr>
          <w:b/>
          <w:bCs/>
          <w:sz w:val="30"/>
          <w:szCs w:val="30"/>
          <w:lang w:val="el-GR"/>
        </w:rPr>
        <w:br/>
        <w:t>«ΑΤΟΜΑ ΜΕ ΑΝΑΠΗΡΙΑ ΚΑΙ ΤΟ ΔΙΚΑΙΩΜΑ ΣΤΗΝ ΕΡΓΑΣΙΑ»</w:t>
      </w:r>
    </w:p>
    <w:p w14:paraId="11283861" w14:textId="77777777" w:rsidR="007D51AE" w:rsidRPr="00B44236" w:rsidRDefault="00000000">
      <w:pPr>
        <w:pBdr>
          <w:top w:val="single" w:sz="12" w:space="1" w:color="auto"/>
          <w:left w:val="single" w:sz="12" w:space="4" w:color="auto"/>
          <w:bottom w:val="single" w:sz="48" w:space="1" w:color="auto"/>
          <w:right w:val="single" w:sz="12" w:space="4" w:color="auto"/>
        </w:pBdr>
        <w:shd w:val="clear" w:color="auto" w:fill="EBF1DE"/>
        <w:spacing w:before="240" w:after="120"/>
        <w:ind w:right="-1"/>
        <w:jc w:val="center"/>
        <w:rPr>
          <w:b/>
          <w:sz w:val="23"/>
          <w:szCs w:val="23"/>
          <w:lang w:val="el-GR"/>
        </w:rPr>
      </w:pPr>
      <w:r w:rsidRPr="00B44236">
        <w:rPr>
          <w:b/>
          <w:sz w:val="23"/>
          <w:szCs w:val="23"/>
          <w:lang w:val="el-GR"/>
        </w:rPr>
        <w:t>ΠΑΡΑΤΗΡΗΤΗΡΙΟ ΘΕΜΑΤΩΝ ΑΝΑΠΗΡΙΑΣ</w:t>
      </w:r>
    </w:p>
    <w:p w14:paraId="4F078AD3" w14:textId="77777777" w:rsidR="007D51AE" w:rsidRPr="00B44236" w:rsidRDefault="00000000">
      <w:pPr>
        <w:pBdr>
          <w:top w:val="single" w:sz="12" w:space="1" w:color="auto"/>
          <w:left w:val="single" w:sz="12" w:space="4" w:color="auto"/>
          <w:bottom w:val="single" w:sz="48" w:space="1" w:color="auto"/>
          <w:right w:val="single" w:sz="12" w:space="4" w:color="auto"/>
        </w:pBdr>
        <w:shd w:val="clear" w:color="auto" w:fill="EBF1DE"/>
        <w:spacing w:line="240" w:lineRule="auto"/>
        <w:ind w:right="-1"/>
        <w:jc w:val="both"/>
        <w:rPr>
          <w:sz w:val="23"/>
          <w:szCs w:val="23"/>
          <w:lang w:val="el-GR"/>
        </w:rPr>
      </w:pPr>
      <w:r w:rsidRPr="00B44236">
        <w:rPr>
          <w:sz w:val="23"/>
          <w:szCs w:val="23"/>
          <w:lang w:val="el-GR"/>
        </w:rPr>
        <w:t>Το Παρατηρητήριο Θεμάτων Αναπηρίας της Εθνικής Συνομοσπονδίας Ατόμων με Αναπηρία (Ε.Σ.Α.μεΑ.), εφεξής «Παρατηρητήριο» με αντικείμενο την επιστημονική καταγραφή, τη μελέτη και την έρευνα σε θέματα αναπηρίας, στοχεύει στο να καθιερωθεί ως βασική πηγή πληροφόρησης για τις εξελίξεις στο πεδίο της αναπηρίας. Συγκεντρώνοντας και αναλύοντας δεδομένα και πληροφόρηση από εγχώριες και διεθνείς πηγές, το Παρατηρητήριο συμβάλλει στην παρακολούθηση, στην προστασία και στην προώθηση των δικαιωμάτων των ατόμων με αναπηρία, χρόνιες παθήσεις και των οικογενειών τους.</w:t>
      </w:r>
    </w:p>
    <w:p w14:paraId="6F659EB9" w14:textId="77777777" w:rsidR="007D51AE" w:rsidRPr="00B44236" w:rsidRDefault="00000000">
      <w:pPr>
        <w:pBdr>
          <w:top w:val="single" w:sz="12" w:space="1" w:color="auto"/>
          <w:left w:val="single" w:sz="12" w:space="4" w:color="auto"/>
          <w:bottom w:val="single" w:sz="48" w:space="1" w:color="auto"/>
          <w:right w:val="single" w:sz="12" w:space="4" w:color="auto"/>
        </w:pBdr>
        <w:shd w:val="clear" w:color="auto" w:fill="EBF1DE"/>
        <w:spacing w:line="240" w:lineRule="auto"/>
        <w:ind w:right="-1"/>
        <w:jc w:val="both"/>
        <w:rPr>
          <w:sz w:val="23"/>
          <w:szCs w:val="23"/>
          <w:lang w:val="el-GR"/>
        </w:rPr>
      </w:pPr>
      <w:r w:rsidRPr="00B44236">
        <w:rPr>
          <w:sz w:val="23"/>
          <w:szCs w:val="23"/>
          <w:lang w:val="el-GR"/>
        </w:rPr>
        <w:t>Βασικός πυλώνας στη δραστηριότητα του Παρατηρητηρίου, αποτελεί η συγκέντρωση και η ανάλυση στατιστικών δεδομένων σε βασικούς τομείς που αφορούν στις συνθήκες διαβίωσης και στα εμπόδια που αντιμετωπίζουν τα άτομα με αναπηρία και χρόνιες παθήσεις ως προς την άσκηση των δικαιωμάτων τους.</w:t>
      </w:r>
    </w:p>
    <w:p w14:paraId="28870E1A" w14:textId="77777777" w:rsidR="007D51AE" w:rsidRPr="00B44236" w:rsidRDefault="00000000">
      <w:pPr>
        <w:pBdr>
          <w:top w:val="single" w:sz="12" w:space="1" w:color="auto"/>
          <w:left w:val="single" w:sz="12" w:space="4" w:color="auto"/>
          <w:bottom w:val="single" w:sz="48" w:space="1" w:color="auto"/>
          <w:right w:val="single" w:sz="12" w:space="4" w:color="auto"/>
        </w:pBdr>
        <w:shd w:val="clear" w:color="auto" w:fill="EBF1DE"/>
        <w:spacing w:line="240" w:lineRule="auto"/>
        <w:ind w:right="-1"/>
        <w:jc w:val="both"/>
        <w:rPr>
          <w:sz w:val="23"/>
          <w:szCs w:val="23"/>
          <w:lang w:val="el-GR"/>
        </w:rPr>
      </w:pPr>
      <w:r w:rsidRPr="00B44236">
        <w:rPr>
          <w:sz w:val="23"/>
          <w:szCs w:val="23"/>
          <w:lang w:val="el-GR"/>
        </w:rPr>
        <w:t>Επιπρόσθετα, το «Παρατηρητήριο», καλείται να διαδραματίσει σημαντικό ρόλο στην ανάπτυξη των εθνικών στατιστικών για την αναπηρία. Με τον νόμο ν.4488/2017, το Παρατηρητήριο της Ε.Σ.Α.μεΑ. θεσμοθετείται ως ο βασικός συνομιλητής της Ελληνικής Στατιστικής Αρχής και των λοιπών φορέων του Ελληνικού Στατιστικού Συστήματος αναφορικά με την υποχρέωσή τους να αναπτύσσουν, να παράγουν και να διαδίδουν επίσημες στατιστικές σχετικά με τα άτομα με αναπηρία. Ειδικότερα, προβλέπεται ότι για τους σκοπούς του σχεδιασμού των ως άνω στατιστικών και της διάχυσης των παραγόμενων δεδομένων, οι αρμόδιοι φορείς τελούν σε διαβούλευση με το Παρατηρητήριο Θεμάτων Αναπηρίας της Εθνικής Συνομοσπονδίας Ατόμων με Αναπηρία (Ε.Σ.Α.μεΑ.).</w:t>
      </w:r>
    </w:p>
    <w:p w14:paraId="6034CEB0" w14:textId="77777777" w:rsidR="007D51AE" w:rsidRPr="00B44236" w:rsidRDefault="00000000">
      <w:pPr>
        <w:pBdr>
          <w:top w:val="single" w:sz="12" w:space="1" w:color="auto"/>
          <w:left w:val="single" w:sz="12" w:space="4" w:color="auto"/>
          <w:bottom w:val="single" w:sz="48" w:space="1" w:color="auto"/>
          <w:right w:val="single" w:sz="12" w:space="4" w:color="auto"/>
        </w:pBdr>
        <w:shd w:val="clear" w:color="auto" w:fill="EBF1DE"/>
        <w:spacing w:line="240" w:lineRule="auto"/>
        <w:ind w:right="-1"/>
        <w:jc w:val="both"/>
        <w:rPr>
          <w:sz w:val="23"/>
          <w:szCs w:val="23"/>
          <w:lang w:val="el-GR"/>
        </w:rPr>
      </w:pPr>
      <w:r w:rsidRPr="00B44236">
        <w:rPr>
          <w:sz w:val="23"/>
          <w:szCs w:val="23"/>
          <w:lang w:val="el-GR"/>
        </w:rPr>
        <w:t>Στο πλαίσιο υλοποίησης της Δράσης 1.2 (Π.Ε.2) του Υποέργου 1 της Πράξης «Παρατηρητήριο Θεμάτων Αναπηρίας» που υλοποιεί η Ε.Σ.Α.μεΑ. στο Επιχειρησιακό Πρόγραμμα «Ανάπτυξη Ανθρώπινου Δυναμικού, Εκπαίδευση και Δια Βίου Μάθηση» με τη συγχρηματοδότηση του Ευρωπαϊκού Κοινωνικού Ταμείου (ΕΚΤ) και εθνικών πόρων, το Παρατηρητήριο συντάσσει και δημοσιεύει σε τακτά χρονικά διαστήματα δελτία στατιστικής πληροφόρησης αφιερωμένα σε συγκριμένα θεματικά πεδία, όπου παρουσιάζει τα σημαντικότερα ευρήματα και τάσεις όπως αυτά προκύπτουν μέσω της επεξεργασίας</w:t>
      </w:r>
      <w:r w:rsidRPr="00B44236">
        <w:rPr>
          <w:color w:val="FF0000"/>
          <w:sz w:val="23"/>
          <w:szCs w:val="23"/>
          <w:lang w:val="el-GR"/>
        </w:rPr>
        <w:t xml:space="preserve"> </w:t>
      </w:r>
      <w:r w:rsidRPr="00B44236">
        <w:rPr>
          <w:sz w:val="23"/>
          <w:szCs w:val="23"/>
          <w:lang w:val="el-GR"/>
        </w:rPr>
        <w:t xml:space="preserve">των διαθέσιμων στατιστικών στοιχείων. </w:t>
      </w:r>
    </w:p>
    <w:p w14:paraId="64EA2E92" w14:textId="77777777" w:rsidR="007D51AE" w:rsidRDefault="00000000" w:rsidP="00B44236">
      <w:pPr>
        <w:pBdr>
          <w:top w:val="single" w:sz="12" w:space="1" w:color="auto"/>
          <w:left w:val="single" w:sz="12" w:space="4" w:color="auto"/>
          <w:bottom w:val="single" w:sz="48" w:space="1" w:color="auto"/>
          <w:right w:val="single" w:sz="12" w:space="4" w:color="auto"/>
        </w:pBdr>
        <w:shd w:val="clear" w:color="auto" w:fill="EBF1DE"/>
        <w:spacing w:line="240" w:lineRule="auto"/>
        <w:ind w:right="-1"/>
        <w:rPr>
          <w:lang w:val="el-GR"/>
        </w:rPr>
      </w:pPr>
      <w:r>
        <w:rPr>
          <w:lang w:val="el-GR"/>
        </w:rPr>
        <w:t xml:space="preserve">Για περισσότερες πληροφορίες για το Έργο, απευθυνθείτε στην Ιστοσελίδα του Έργου: </w:t>
      </w:r>
      <w:hyperlink r:id="rId9" w:tooltip="Επίσημη Ιστοσελίδα της Πράξης " w:history="1">
        <w:r>
          <w:rPr>
            <w:rStyle w:val="-0"/>
            <w:lang w:val="el-GR"/>
          </w:rPr>
          <w:t>www.paratiritirioanapirias.gr</w:t>
        </w:r>
      </w:hyperlink>
      <w:r>
        <w:rPr>
          <w:lang w:val="el-GR"/>
        </w:rPr>
        <w:t>.</w:t>
      </w:r>
    </w:p>
    <w:p w14:paraId="12C5DC30" w14:textId="77777777" w:rsidR="007D51AE" w:rsidRDefault="00000000">
      <w:pPr>
        <w:rPr>
          <w:highlight w:val="yellow"/>
          <w:lang w:val="el-GR"/>
        </w:rPr>
      </w:pPr>
      <w:r>
        <w:rPr>
          <w:highlight w:val="yellow"/>
          <w:lang w:val="el-GR"/>
        </w:rPr>
        <w:br w:type="page"/>
      </w:r>
    </w:p>
    <w:p w14:paraId="4B9CC5D3" w14:textId="77777777" w:rsidR="007D51AE" w:rsidRDefault="007D51AE">
      <w:pPr>
        <w:ind w:right="-1"/>
        <w:rPr>
          <w:highlight w:val="yellow"/>
          <w:lang w:val="el-GR"/>
        </w:rPr>
      </w:pPr>
    </w:p>
    <w:sdt>
      <w:sdtPr>
        <w:rPr>
          <w:rFonts w:asciiTheme="minorHAnsi" w:eastAsiaTheme="minorHAnsi" w:hAnsiTheme="minorHAnsi" w:cstheme="minorBidi"/>
          <w:color w:val="auto"/>
          <w:sz w:val="22"/>
          <w:szCs w:val="22"/>
          <w:lang w:val="el-GR"/>
        </w:rPr>
        <w:id w:val="-664017367"/>
        <w:docPartObj>
          <w:docPartGallery w:val="Table of Contents"/>
          <w:docPartUnique/>
        </w:docPartObj>
      </w:sdtPr>
      <w:sdtContent>
        <w:p w14:paraId="585E05D2" w14:textId="77777777" w:rsidR="007D51AE" w:rsidRDefault="00000000">
          <w:pPr>
            <w:pStyle w:val="12"/>
            <w:numPr>
              <w:ilvl w:val="0"/>
              <w:numId w:val="0"/>
            </w:numPr>
            <w:spacing w:after="240"/>
            <w:jc w:val="center"/>
            <w:rPr>
              <w:b/>
              <w:bCs/>
              <w:color w:val="000000" w:themeColor="text1"/>
            </w:rPr>
          </w:pPr>
          <w:r>
            <w:rPr>
              <w:b/>
              <w:bCs/>
              <w:color w:val="000000" w:themeColor="text1"/>
              <w:u w:val="single"/>
            </w:rPr>
            <w:t>ΠΕΡΙΕΧ</w:t>
          </w:r>
          <w:r>
            <w:rPr>
              <w:b/>
              <w:bCs/>
              <w:color w:val="000000" w:themeColor="text1"/>
              <w:u w:val="single"/>
              <w:lang w:val="el-GR"/>
            </w:rPr>
            <w:t>Ο</w:t>
          </w:r>
          <w:r>
            <w:rPr>
              <w:b/>
              <w:bCs/>
              <w:color w:val="000000" w:themeColor="text1"/>
              <w:u w:val="single"/>
            </w:rPr>
            <w:t>ΜΕΝΑ</w:t>
          </w:r>
        </w:p>
        <w:p w14:paraId="2A121EC9" w14:textId="072A68A3" w:rsidR="007D51AE" w:rsidRPr="00B44236" w:rsidRDefault="00000000">
          <w:pPr>
            <w:pStyle w:val="10"/>
            <w:rPr>
              <w:rFonts w:ascii="Arial Narrow" w:eastAsiaTheme="minorEastAsia" w:hAnsi="Arial Narrow"/>
              <w:kern w:val="2"/>
              <w:sz w:val="24"/>
              <w:szCs w:val="24"/>
              <w:lang w:val="el-GR" w:eastAsia="el-GR"/>
              <w14:ligatures w14:val="standardContextual"/>
            </w:rPr>
          </w:pPr>
          <w:r w:rsidRPr="00B44236">
            <w:rPr>
              <w:rFonts w:ascii="Arial Narrow" w:hAnsi="Arial Narrow"/>
              <w:sz w:val="26"/>
              <w:szCs w:val="26"/>
            </w:rPr>
            <w:fldChar w:fldCharType="begin"/>
          </w:r>
          <w:r w:rsidRPr="00B44236">
            <w:rPr>
              <w:rFonts w:ascii="Arial Narrow" w:hAnsi="Arial Narrow"/>
              <w:sz w:val="26"/>
              <w:szCs w:val="26"/>
            </w:rPr>
            <w:instrText xml:space="preserve"> TOC \o "1-3" \h \z \u </w:instrText>
          </w:r>
          <w:r w:rsidRPr="00B44236">
            <w:rPr>
              <w:rFonts w:ascii="Arial Narrow" w:hAnsi="Arial Narrow"/>
              <w:sz w:val="26"/>
              <w:szCs w:val="26"/>
            </w:rPr>
            <w:fldChar w:fldCharType="separate"/>
          </w:r>
          <w:hyperlink w:anchor="_Toc145080419" w:history="1">
            <w:r w:rsidRPr="00B44236">
              <w:rPr>
                <w:rStyle w:val="-0"/>
                <w:rFonts w:ascii="Arial Narrow" w:hAnsi="Arial Narrow"/>
                <w:b/>
                <w:bCs/>
                <w:sz w:val="24"/>
                <w:szCs w:val="24"/>
                <w:lang w:val="el-GR"/>
              </w:rPr>
              <w:t>ΕΙΣΑΓΩΓΗ</w:t>
            </w:r>
            <w:r w:rsidRPr="00B44236">
              <w:rPr>
                <w:rFonts w:ascii="Arial Narrow" w:hAnsi="Arial Narrow"/>
                <w:sz w:val="24"/>
                <w:szCs w:val="24"/>
              </w:rPr>
              <w:tab/>
            </w:r>
            <w:r w:rsidRPr="00B44236">
              <w:rPr>
                <w:rFonts w:ascii="Arial Narrow" w:hAnsi="Arial Narrow"/>
                <w:sz w:val="24"/>
                <w:szCs w:val="24"/>
              </w:rPr>
              <w:fldChar w:fldCharType="begin"/>
            </w:r>
            <w:r w:rsidRPr="00B44236">
              <w:rPr>
                <w:rFonts w:ascii="Arial Narrow" w:hAnsi="Arial Narrow"/>
                <w:sz w:val="24"/>
                <w:szCs w:val="24"/>
              </w:rPr>
              <w:instrText xml:space="preserve"> PAGEREF _Toc145080419 \h </w:instrText>
            </w:r>
            <w:r w:rsidRPr="00B44236">
              <w:rPr>
                <w:rFonts w:ascii="Arial Narrow" w:hAnsi="Arial Narrow"/>
                <w:sz w:val="24"/>
                <w:szCs w:val="24"/>
              </w:rPr>
            </w:r>
            <w:r w:rsidRPr="00B44236">
              <w:rPr>
                <w:rFonts w:ascii="Arial Narrow" w:hAnsi="Arial Narrow"/>
                <w:sz w:val="24"/>
                <w:szCs w:val="24"/>
              </w:rPr>
              <w:fldChar w:fldCharType="separate"/>
            </w:r>
            <w:r w:rsidR="00436DBE">
              <w:rPr>
                <w:rFonts w:ascii="Arial Narrow" w:hAnsi="Arial Narrow"/>
                <w:noProof/>
                <w:sz w:val="24"/>
                <w:szCs w:val="24"/>
              </w:rPr>
              <w:t>4</w:t>
            </w:r>
            <w:r w:rsidRPr="00B44236">
              <w:rPr>
                <w:rFonts w:ascii="Arial Narrow" w:hAnsi="Arial Narrow"/>
                <w:sz w:val="24"/>
                <w:szCs w:val="24"/>
              </w:rPr>
              <w:fldChar w:fldCharType="end"/>
            </w:r>
          </w:hyperlink>
        </w:p>
        <w:p w14:paraId="1433C22A" w14:textId="24A52516" w:rsidR="007D51AE" w:rsidRPr="00B44236" w:rsidRDefault="00000000">
          <w:pPr>
            <w:pStyle w:val="10"/>
            <w:rPr>
              <w:rFonts w:ascii="Arial Narrow" w:eastAsiaTheme="minorEastAsia" w:hAnsi="Arial Narrow"/>
              <w:kern w:val="2"/>
              <w:sz w:val="24"/>
              <w:szCs w:val="24"/>
              <w:lang w:val="el-GR" w:eastAsia="el-GR"/>
              <w14:ligatures w14:val="standardContextual"/>
            </w:rPr>
          </w:pPr>
          <w:hyperlink w:anchor="_Toc145080420" w:history="1">
            <w:r w:rsidRPr="00B44236">
              <w:rPr>
                <w:rStyle w:val="-0"/>
                <w:rFonts w:ascii="Arial Narrow" w:hAnsi="Arial Narrow"/>
                <w:b/>
                <w:bCs/>
                <w:sz w:val="24"/>
                <w:szCs w:val="24"/>
                <w:lang w:val="el-GR"/>
              </w:rPr>
              <w:t>ΒΑΣΙΚΑ ΕΥΡΥΜΑΤΑ</w:t>
            </w:r>
            <w:r w:rsidRPr="00B44236">
              <w:rPr>
                <w:rFonts w:ascii="Arial Narrow" w:hAnsi="Arial Narrow"/>
                <w:sz w:val="24"/>
                <w:szCs w:val="24"/>
              </w:rPr>
              <w:tab/>
            </w:r>
            <w:r w:rsidRPr="00B44236">
              <w:rPr>
                <w:rFonts w:ascii="Arial Narrow" w:hAnsi="Arial Narrow"/>
                <w:sz w:val="24"/>
                <w:szCs w:val="24"/>
              </w:rPr>
              <w:fldChar w:fldCharType="begin"/>
            </w:r>
            <w:r w:rsidRPr="00B44236">
              <w:rPr>
                <w:rFonts w:ascii="Arial Narrow" w:hAnsi="Arial Narrow"/>
                <w:sz w:val="24"/>
                <w:szCs w:val="24"/>
              </w:rPr>
              <w:instrText xml:space="preserve"> PAGEREF _Toc145080420 \h </w:instrText>
            </w:r>
            <w:r w:rsidRPr="00B44236">
              <w:rPr>
                <w:rFonts w:ascii="Arial Narrow" w:hAnsi="Arial Narrow"/>
                <w:sz w:val="24"/>
                <w:szCs w:val="24"/>
              </w:rPr>
            </w:r>
            <w:r w:rsidRPr="00B44236">
              <w:rPr>
                <w:rFonts w:ascii="Arial Narrow" w:hAnsi="Arial Narrow"/>
                <w:sz w:val="24"/>
                <w:szCs w:val="24"/>
              </w:rPr>
              <w:fldChar w:fldCharType="separate"/>
            </w:r>
            <w:r w:rsidR="00436DBE">
              <w:rPr>
                <w:rFonts w:ascii="Arial Narrow" w:hAnsi="Arial Narrow"/>
                <w:noProof/>
                <w:sz w:val="24"/>
                <w:szCs w:val="24"/>
              </w:rPr>
              <w:t>5</w:t>
            </w:r>
            <w:r w:rsidRPr="00B44236">
              <w:rPr>
                <w:rFonts w:ascii="Arial Narrow" w:hAnsi="Arial Narrow"/>
                <w:sz w:val="24"/>
                <w:szCs w:val="24"/>
              </w:rPr>
              <w:fldChar w:fldCharType="end"/>
            </w:r>
          </w:hyperlink>
        </w:p>
        <w:p w14:paraId="20AC8121" w14:textId="2024B657" w:rsidR="007D51AE" w:rsidRPr="00B44236" w:rsidRDefault="00000000">
          <w:pPr>
            <w:pStyle w:val="10"/>
            <w:rPr>
              <w:rFonts w:ascii="Arial Narrow" w:eastAsiaTheme="minorEastAsia" w:hAnsi="Arial Narrow"/>
              <w:kern w:val="2"/>
              <w:sz w:val="24"/>
              <w:szCs w:val="24"/>
              <w:lang w:val="el-GR" w:eastAsia="el-GR"/>
              <w14:ligatures w14:val="standardContextual"/>
            </w:rPr>
          </w:pPr>
          <w:hyperlink w:anchor="_Toc145080421" w:history="1">
            <w:r w:rsidRPr="00B44236">
              <w:rPr>
                <w:rStyle w:val="-0"/>
                <w:rFonts w:ascii="Arial Narrow" w:hAnsi="Arial Narrow"/>
                <w:b/>
                <w:bCs/>
                <w:sz w:val="24"/>
                <w:szCs w:val="24"/>
                <w:lang w:val="el-GR"/>
              </w:rPr>
              <w:t>ΒΑΣΙΚΑ ΣΥΜΠΕΡΑΣΜΑΤΑ</w:t>
            </w:r>
            <w:r w:rsidRPr="00B44236">
              <w:rPr>
                <w:rFonts w:ascii="Arial Narrow" w:hAnsi="Arial Narrow"/>
                <w:sz w:val="24"/>
                <w:szCs w:val="24"/>
              </w:rPr>
              <w:tab/>
            </w:r>
            <w:r w:rsidRPr="00B44236">
              <w:rPr>
                <w:rFonts w:ascii="Arial Narrow" w:hAnsi="Arial Narrow"/>
                <w:sz w:val="24"/>
                <w:szCs w:val="24"/>
              </w:rPr>
              <w:fldChar w:fldCharType="begin"/>
            </w:r>
            <w:r w:rsidRPr="00B44236">
              <w:rPr>
                <w:rFonts w:ascii="Arial Narrow" w:hAnsi="Arial Narrow"/>
                <w:sz w:val="24"/>
                <w:szCs w:val="24"/>
              </w:rPr>
              <w:instrText xml:space="preserve"> PAGEREF _Toc145080421 \h </w:instrText>
            </w:r>
            <w:r w:rsidRPr="00B44236">
              <w:rPr>
                <w:rFonts w:ascii="Arial Narrow" w:hAnsi="Arial Narrow"/>
                <w:sz w:val="24"/>
                <w:szCs w:val="24"/>
              </w:rPr>
            </w:r>
            <w:r w:rsidRPr="00B44236">
              <w:rPr>
                <w:rFonts w:ascii="Arial Narrow" w:hAnsi="Arial Narrow"/>
                <w:sz w:val="24"/>
                <w:szCs w:val="24"/>
              </w:rPr>
              <w:fldChar w:fldCharType="separate"/>
            </w:r>
            <w:r w:rsidR="00436DBE">
              <w:rPr>
                <w:rFonts w:ascii="Arial Narrow" w:hAnsi="Arial Narrow"/>
                <w:noProof/>
                <w:sz w:val="24"/>
                <w:szCs w:val="24"/>
              </w:rPr>
              <w:t>7</w:t>
            </w:r>
            <w:r w:rsidRPr="00B44236">
              <w:rPr>
                <w:rFonts w:ascii="Arial Narrow" w:hAnsi="Arial Narrow"/>
                <w:sz w:val="24"/>
                <w:szCs w:val="24"/>
              </w:rPr>
              <w:fldChar w:fldCharType="end"/>
            </w:r>
          </w:hyperlink>
        </w:p>
        <w:p w14:paraId="14E2877D" w14:textId="6A6E5AD8" w:rsidR="007D51AE" w:rsidRPr="00B44236" w:rsidRDefault="00000000">
          <w:pPr>
            <w:pStyle w:val="10"/>
            <w:rPr>
              <w:rFonts w:ascii="Arial Narrow" w:eastAsiaTheme="minorEastAsia" w:hAnsi="Arial Narrow"/>
              <w:kern w:val="2"/>
              <w:sz w:val="24"/>
              <w:szCs w:val="24"/>
              <w:lang w:val="el-GR" w:eastAsia="el-GR"/>
              <w14:ligatures w14:val="standardContextual"/>
            </w:rPr>
          </w:pPr>
          <w:hyperlink w:anchor="_Toc145080422" w:history="1">
            <w:r w:rsidRPr="00B44236">
              <w:rPr>
                <w:rStyle w:val="-0"/>
                <w:rFonts w:ascii="Arial Narrow" w:hAnsi="Arial Narrow"/>
                <w:b/>
                <w:bCs/>
                <w:sz w:val="24"/>
                <w:szCs w:val="24"/>
                <w:lang w:val="el-GR"/>
              </w:rPr>
              <w:t>ΑΝΑΛΥΣΗ ΕΥΡΥΜΑΤΩΝ</w:t>
            </w:r>
            <w:r w:rsidRPr="00B44236">
              <w:rPr>
                <w:rFonts w:ascii="Arial Narrow" w:hAnsi="Arial Narrow"/>
                <w:sz w:val="24"/>
                <w:szCs w:val="24"/>
              </w:rPr>
              <w:tab/>
            </w:r>
            <w:r w:rsidRPr="00B44236">
              <w:rPr>
                <w:rFonts w:ascii="Arial Narrow" w:hAnsi="Arial Narrow"/>
                <w:sz w:val="24"/>
                <w:szCs w:val="24"/>
              </w:rPr>
              <w:fldChar w:fldCharType="begin"/>
            </w:r>
            <w:r w:rsidRPr="00B44236">
              <w:rPr>
                <w:rFonts w:ascii="Arial Narrow" w:hAnsi="Arial Narrow"/>
                <w:sz w:val="24"/>
                <w:szCs w:val="24"/>
              </w:rPr>
              <w:instrText xml:space="preserve"> PAGEREF _Toc145080422 \h </w:instrText>
            </w:r>
            <w:r w:rsidRPr="00B44236">
              <w:rPr>
                <w:rFonts w:ascii="Arial Narrow" w:hAnsi="Arial Narrow"/>
                <w:sz w:val="24"/>
                <w:szCs w:val="24"/>
              </w:rPr>
            </w:r>
            <w:r w:rsidRPr="00B44236">
              <w:rPr>
                <w:rFonts w:ascii="Arial Narrow" w:hAnsi="Arial Narrow"/>
                <w:sz w:val="24"/>
                <w:szCs w:val="24"/>
              </w:rPr>
              <w:fldChar w:fldCharType="separate"/>
            </w:r>
            <w:r w:rsidR="00436DBE">
              <w:rPr>
                <w:rFonts w:ascii="Arial Narrow" w:hAnsi="Arial Narrow"/>
                <w:noProof/>
                <w:sz w:val="24"/>
                <w:szCs w:val="24"/>
              </w:rPr>
              <w:t>9</w:t>
            </w:r>
            <w:r w:rsidRPr="00B44236">
              <w:rPr>
                <w:rFonts w:ascii="Arial Narrow" w:hAnsi="Arial Narrow"/>
                <w:sz w:val="24"/>
                <w:szCs w:val="24"/>
              </w:rPr>
              <w:fldChar w:fldCharType="end"/>
            </w:r>
          </w:hyperlink>
        </w:p>
        <w:p w14:paraId="5174783D" w14:textId="65112F23" w:rsidR="007D51AE" w:rsidRPr="00B44236" w:rsidRDefault="00000000">
          <w:pPr>
            <w:pStyle w:val="20"/>
            <w:tabs>
              <w:tab w:val="left" w:pos="660"/>
              <w:tab w:val="right" w:leader="dot" w:pos="8777"/>
            </w:tabs>
            <w:rPr>
              <w:rFonts w:ascii="Arial Narrow" w:eastAsiaTheme="minorEastAsia" w:hAnsi="Arial Narrow"/>
              <w:kern w:val="2"/>
              <w:sz w:val="24"/>
              <w:szCs w:val="24"/>
              <w:lang w:val="el-GR" w:eastAsia="el-GR"/>
              <w14:ligatures w14:val="standardContextual"/>
            </w:rPr>
          </w:pPr>
          <w:hyperlink w:anchor="_Toc145080423" w:history="1">
            <w:r w:rsidRPr="00B44236">
              <w:rPr>
                <w:rStyle w:val="-0"/>
                <w:rFonts w:ascii="Arial Narrow" w:hAnsi="Arial Narrow"/>
                <w:sz w:val="24"/>
                <w:szCs w:val="24"/>
              </w:rPr>
              <w:t>1.</w:t>
            </w:r>
            <w:r w:rsidRPr="00B44236">
              <w:rPr>
                <w:rFonts w:ascii="Arial Narrow" w:eastAsiaTheme="minorEastAsia" w:hAnsi="Arial Narrow"/>
                <w:kern w:val="2"/>
                <w:sz w:val="24"/>
                <w:szCs w:val="24"/>
                <w:lang w:val="el-GR" w:eastAsia="el-GR"/>
                <w14:ligatures w14:val="standardContextual"/>
              </w:rPr>
              <w:tab/>
            </w:r>
            <w:r w:rsidRPr="00B44236">
              <w:rPr>
                <w:rStyle w:val="-0"/>
                <w:rFonts w:ascii="Arial Narrow" w:hAnsi="Arial Narrow"/>
                <w:sz w:val="24"/>
                <w:szCs w:val="24"/>
              </w:rPr>
              <w:t>Ο πληθυσμός των ατόμων με αναπηρία 15 ετών και άνω (ΔΕΙΚΤΗΣ GALI -Global Activity Limitation Index) σύμφωνα με τα στοιχεία της Έρευνας Εργατικού Δυναμικού</w:t>
            </w:r>
            <w:r w:rsidRPr="00B44236">
              <w:rPr>
                <w:rFonts w:ascii="Arial Narrow" w:hAnsi="Arial Narrow"/>
                <w:sz w:val="24"/>
                <w:szCs w:val="24"/>
              </w:rPr>
              <w:tab/>
            </w:r>
            <w:r w:rsidRPr="00B44236">
              <w:rPr>
                <w:rFonts w:ascii="Arial Narrow" w:hAnsi="Arial Narrow"/>
                <w:sz w:val="24"/>
                <w:szCs w:val="24"/>
              </w:rPr>
              <w:fldChar w:fldCharType="begin"/>
            </w:r>
            <w:r w:rsidRPr="00B44236">
              <w:rPr>
                <w:rFonts w:ascii="Arial Narrow" w:hAnsi="Arial Narrow"/>
                <w:sz w:val="24"/>
                <w:szCs w:val="24"/>
              </w:rPr>
              <w:instrText xml:space="preserve"> PAGEREF _Toc145080423 \h </w:instrText>
            </w:r>
            <w:r w:rsidRPr="00B44236">
              <w:rPr>
                <w:rFonts w:ascii="Arial Narrow" w:hAnsi="Arial Narrow"/>
                <w:sz w:val="24"/>
                <w:szCs w:val="24"/>
              </w:rPr>
            </w:r>
            <w:r w:rsidRPr="00B44236">
              <w:rPr>
                <w:rFonts w:ascii="Arial Narrow" w:hAnsi="Arial Narrow"/>
                <w:sz w:val="24"/>
                <w:szCs w:val="24"/>
              </w:rPr>
              <w:fldChar w:fldCharType="separate"/>
            </w:r>
            <w:r w:rsidR="00436DBE">
              <w:rPr>
                <w:rFonts w:ascii="Arial Narrow" w:hAnsi="Arial Narrow"/>
                <w:noProof/>
                <w:sz w:val="24"/>
                <w:szCs w:val="24"/>
              </w:rPr>
              <w:t>9</w:t>
            </w:r>
            <w:r w:rsidRPr="00B44236">
              <w:rPr>
                <w:rFonts w:ascii="Arial Narrow" w:hAnsi="Arial Narrow"/>
                <w:sz w:val="24"/>
                <w:szCs w:val="24"/>
              </w:rPr>
              <w:fldChar w:fldCharType="end"/>
            </w:r>
          </w:hyperlink>
        </w:p>
        <w:p w14:paraId="7C358DFA" w14:textId="3FFF0403" w:rsidR="007D51AE" w:rsidRPr="00B44236" w:rsidRDefault="00000000">
          <w:pPr>
            <w:pStyle w:val="20"/>
            <w:tabs>
              <w:tab w:val="left" w:pos="660"/>
              <w:tab w:val="right" w:leader="dot" w:pos="8777"/>
            </w:tabs>
            <w:rPr>
              <w:rFonts w:ascii="Arial Narrow" w:eastAsiaTheme="minorEastAsia" w:hAnsi="Arial Narrow"/>
              <w:kern w:val="2"/>
              <w:sz w:val="24"/>
              <w:szCs w:val="24"/>
              <w:lang w:val="el-GR" w:eastAsia="el-GR"/>
              <w14:ligatures w14:val="standardContextual"/>
            </w:rPr>
          </w:pPr>
          <w:hyperlink w:anchor="_Toc145080424" w:history="1">
            <w:r w:rsidRPr="00B44236">
              <w:rPr>
                <w:rStyle w:val="-0"/>
                <w:rFonts w:ascii="Arial Narrow" w:hAnsi="Arial Narrow"/>
                <w:sz w:val="24"/>
                <w:szCs w:val="24"/>
              </w:rPr>
              <w:t>2.</w:t>
            </w:r>
            <w:r w:rsidRPr="00B44236">
              <w:rPr>
                <w:rFonts w:ascii="Arial Narrow" w:eastAsiaTheme="minorEastAsia" w:hAnsi="Arial Narrow"/>
                <w:kern w:val="2"/>
                <w:sz w:val="24"/>
                <w:szCs w:val="24"/>
                <w:lang w:val="el-GR" w:eastAsia="el-GR"/>
                <w14:ligatures w14:val="standardContextual"/>
              </w:rPr>
              <w:tab/>
            </w:r>
            <w:r w:rsidRPr="00B44236">
              <w:rPr>
                <w:rStyle w:val="-0"/>
                <w:rFonts w:ascii="Arial Narrow" w:hAnsi="Arial Narrow"/>
                <w:sz w:val="24"/>
                <w:szCs w:val="24"/>
              </w:rPr>
              <w:t>Δείκτης συμμετοχής στο εργατικό δυναμικό</w:t>
            </w:r>
            <w:r w:rsidRPr="00B44236">
              <w:rPr>
                <w:rFonts w:ascii="Arial Narrow" w:hAnsi="Arial Narrow"/>
                <w:sz w:val="24"/>
                <w:szCs w:val="24"/>
              </w:rPr>
              <w:tab/>
            </w:r>
            <w:r w:rsidRPr="00B44236">
              <w:rPr>
                <w:rFonts w:ascii="Arial Narrow" w:hAnsi="Arial Narrow"/>
                <w:sz w:val="24"/>
                <w:szCs w:val="24"/>
              </w:rPr>
              <w:fldChar w:fldCharType="begin"/>
            </w:r>
            <w:r w:rsidRPr="00B44236">
              <w:rPr>
                <w:rFonts w:ascii="Arial Narrow" w:hAnsi="Arial Narrow"/>
                <w:sz w:val="24"/>
                <w:szCs w:val="24"/>
              </w:rPr>
              <w:instrText xml:space="preserve"> PAGEREF _Toc145080424 \h </w:instrText>
            </w:r>
            <w:r w:rsidRPr="00B44236">
              <w:rPr>
                <w:rFonts w:ascii="Arial Narrow" w:hAnsi="Arial Narrow"/>
                <w:sz w:val="24"/>
                <w:szCs w:val="24"/>
              </w:rPr>
            </w:r>
            <w:r w:rsidRPr="00B44236">
              <w:rPr>
                <w:rFonts w:ascii="Arial Narrow" w:hAnsi="Arial Narrow"/>
                <w:sz w:val="24"/>
                <w:szCs w:val="24"/>
              </w:rPr>
              <w:fldChar w:fldCharType="separate"/>
            </w:r>
            <w:r w:rsidR="00436DBE">
              <w:rPr>
                <w:rFonts w:ascii="Arial Narrow" w:hAnsi="Arial Narrow"/>
                <w:noProof/>
                <w:sz w:val="24"/>
                <w:szCs w:val="24"/>
              </w:rPr>
              <w:t>11</w:t>
            </w:r>
            <w:r w:rsidRPr="00B44236">
              <w:rPr>
                <w:rFonts w:ascii="Arial Narrow" w:hAnsi="Arial Narrow"/>
                <w:sz w:val="24"/>
                <w:szCs w:val="24"/>
              </w:rPr>
              <w:fldChar w:fldCharType="end"/>
            </w:r>
          </w:hyperlink>
        </w:p>
        <w:p w14:paraId="2D94BD83" w14:textId="671F974A" w:rsidR="007D51AE" w:rsidRPr="00B44236" w:rsidRDefault="00000000">
          <w:pPr>
            <w:pStyle w:val="20"/>
            <w:tabs>
              <w:tab w:val="left" w:pos="660"/>
              <w:tab w:val="right" w:leader="dot" w:pos="8777"/>
            </w:tabs>
            <w:rPr>
              <w:rFonts w:ascii="Arial Narrow" w:eastAsiaTheme="minorEastAsia" w:hAnsi="Arial Narrow"/>
              <w:kern w:val="2"/>
              <w:sz w:val="24"/>
              <w:szCs w:val="24"/>
              <w:lang w:val="el-GR" w:eastAsia="el-GR"/>
              <w14:ligatures w14:val="standardContextual"/>
            </w:rPr>
          </w:pPr>
          <w:hyperlink w:anchor="_Toc145080425" w:history="1">
            <w:r w:rsidRPr="00B44236">
              <w:rPr>
                <w:rStyle w:val="-0"/>
                <w:rFonts w:ascii="Arial Narrow" w:hAnsi="Arial Narrow"/>
                <w:sz w:val="24"/>
                <w:szCs w:val="24"/>
              </w:rPr>
              <w:t>3.</w:t>
            </w:r>
            <w:r w:rsidRPr="00B44236">
              <w:rPr>
                <w:rFonts w:ascii="Arial Narrow" w:eastAsiaTheme="minorEastAsia" w:hAnsi="Arial Narrow"/>
                <w:kern w:val="2"/>
                <w:sz w:val="24"/>
                <w:szCs w:val="24"/>
                <w:lang w:val="el-GR" w:eastAsia="el-GR"/>
                <w14:ligatures w14:val="standardContextual"/>
              </w:rPr>
              <w:tab/>
            </w:r>
            <w:r w:rsidRPr="00B44236">
              <w:rPr>
                <w:rStyle w:val="-0"/>
                <w:rFonts w:ascii="Arial Narrow" w:hAnsi="Arial Narrow"/>
                <w:sz w:val="24"/>
                <w:szCs w:val="24"/>
              </w:rPr>
              <w:t>Δείκτες Απασχόλησης και ανεργίας</w:t>
            </w:r>
            <w:r w:rsidRPr="00B44236">
              <w:rPr>
                <w:rFonts w:ascii="Arial Narrow" w:hAnsi="Arial Narrow"/>
                <w:sz w:val="24"/>
                <w:szCs w:val="24"/>
              </w:rPr>
              <w:tab/>
            </w:r>
            <w:r w:rsidRPr="00B44236">
              <w:rPr>
                <w:rFonts w:ascii="Arial Narrow" w:hAnsi="Arial Narrow"/>
                <w:sz w:val="24"/>
                <w:szCs w:val="24"/>
              </w:rPr>
              <w:fldChar w:fldCharType="begin"/>
            </w:r>
            <w:r w:rsidRPr="00B44236">
              <w:rPr>
                <w:rFonts w:ascii="Arial Narrow" w:hAnsi="Arial Narrow"/>
                <w:sz w:val="24"/>
                <w:szCs w:val="24"/>
              </w:rPr>
              <w:instrText xml:space="preserve"> PAGEREF _Toc145080425 \h </w:instrText>
            </w:r>
            <w:r w:rsidRPr="00B44236">
              <w:rPr>
                <w:rFonts w:ascii="Arial Narrow" w:hAnsi="Arial Narrow"/>
                <w:sz w:val="24"/>
                <w:szCs w:val="24"/>
              </w:rPr>
            </w:r>
            <w:r w:rsidRPr="00B44236">
              <w:rPr>
                <w:rFonts w:ascii="Arial Narrow" w:hAnsi="Arial Narrow"/>
                <w:sz w:val="24"/>
                <w:szCs w:val="24"/>
              </w:rPr>
              <w:fldChar w:fldCharType="separate"/>
            </w:r>
            <w:r w:rsidR="00436DBE">
              <w:rPr>
                <w:rFonts w:ascii="Arial Narrow" w:hAnsi="Arial Narrow"/>
                <w:noProof/>
                <w:sz w:val="24"/>
                <w:szCs w:val="24"/>
              </w:rPr>
              <w:t>12</w:t>
            </w:r>
            <w:r w:rsidRPr="00B44236">
              <w:rPr>
                <w:rFonts w:ascii="Arial Narrow" w:hAnsi="Arial Narrow"/>
                <w:sz w:val="24"/>
                <w:szCs w:val="24"/>
              </w:rPr>
              <w:fldChar w:fldCharType="end"/>
            </w:r>
          </w:hyperlink>
        </w:p>
        <w:p w14:paraId="3E3710A6" w14:textId="76E825AA" w:rsidR="007D51AE" w:rsidRPr="00B44236" w:rsidRDefault="00000000">
          <w:pPr>
            <w:pStyle w:val="20"/>
            <w:tabs>
              <w:tab w:val="left" w:pos="660"/>
              <w:tab w:val="right" w:leader="dot" w:pos="8777"/>
            </w:tabs>
            <w:rPr>
              <w:rFonts w:ascii="Arial Narrow" w:eastAsiaTheme="minorEastAsia" w:hAnsi="Arial Narrow"/>
              <w:kern w:val="2"/>
              <w:sz w:val="24"/>
              <w:szCs w:val="24"/>
              <w:lang w:val="el-GR" w:eastAsia="el-GR"/>
              <w14:ligatures w14:val="standardContextual"/>
            </w:rPr>
          </w:pPr>
          <w:hyperlink w:anchor="_Toc145080426" w:history="1">
            <w:r w:rsidRPr="00B44236">
              <w:rPr>
                <w:rStyle w:val="-0"/>
                <w:rFonts w:ascii="Arial Narrow" w:hAnsi="Arial Narrow"/>
                <w:sz w:val="24"/>
                <w:szCs w:val="24"/>
              </w:rPr>
              <w:t>4.</w:t>
            </w:r>
            <w:r w:rsidRPr="00B44236">
              <w:rPr>
                <w:rFonts w:ascii="Arial Narrow" w:eastAsiaTheme="minorEastAsia" w:hAnsi="Arial Narrow"/>
                <w:kern w:val="2"/>
                <w:sz w:val="24"/>
                <w:szCs w:val="24"/>
                <w:lang w:val="el-GR" w:eastAsia="el-GR"/>
                <w14:ligatures w14:val="standardContextual"/>
              </w:rPr>
              <w:tab/>
            </w:r>
            <w:r w:rsidRPr="00B44236">
              <w:rPr>
                <w:rStyle w:val="-0"/>
                <w:rFonts w:ascii="Arial Narrow" w:hAnsi="Arial Narrow"/>
                <w:sz w:val="24"/>
                <w:szCs w:val="24"/>
              </w:rPr>
              <w:t>Συσχέτιση της κατάστασης απασχόλησης με το εκπαιδευτικό επίπεδο</w:t>
            </w:r>
            <w:r w:rsidRPr="00B44236">
              <w:rPr>
                <w:rFonts w:ascii="Arial Narrow" w:hAnsi="Arial Narrow"/>
                <w:sz w:val="24"/>
                <w:szCs w:val="24"/>
              </w:rPr>
              <w:tab/>
            </w:r>
            <w:r w:rsidRPr="00B44236">
              <w:rPr>
                <w:rFonts w:ascii="Arial Narrow" w:hAnsi="Arial Narrow"/>
                <w:sz w:val="24"/>
                <w:szCs w:val="24"/>
              </w:rPr>
              <w:fldChar w:fldCharType="begin"/>
            </w:r>
            <w:r w:rsidRPr="00B44236">
              <w:rPr>
                <w:rFonts w:ascii="Arial Narrow" w:hAnsi="Arial Narrow"/>
                <w:sz w:val="24"/>
                <w:szCs w:val="24"/>
              </w:rPr>
              <w:instrText xml:space="preserve"> PAGEREF _Toc145080426 \h </w:instrText>
            </w:r>
            <w:r w:rsidRPr="00B44236">
              <w:rPr>
                <w:rFonts w:ascii="Arial Narrow" w:hAnsi="Arial Narrow"/>
                <w:sz w:val="24"/>
                <w:szCs w:val="24"/>
              </w:rPr>
            </w:r>
            <w:r w:rsidRPr="00B44236">
              <w:rPr>
                <w:rFonts w:ascii="Arial Narrow" w:hAnsi="Arial Narrow"/>
                <w:sz w:val="24"/>
                <w:szCs w:val="24"/>
              </w:rPr>
              <w:fldChar w:fldCharType="separate"/>
            </w:r>
            <w:r w:rsidR="00436DBE">
              <w:rPr>
                <w:rFonts w:ascii="Arial Narrow" w:hAnsi="Arial Narrow"/>
                <w:noProof/>
                <w:sz w:val="24"/>
                <w:szCs w:val="24"/>
              </w:rPr>
              <w:t>14</w:t>
            </w:r>
            <w:r w:rsidRPr="00B44236">
              <w:rPr>
                <w:rFonts w:ascii="Arial Narrow" w:hAnsi="Arial Narrow"/>
                <w:sz w:val="24"/>
                <w:szCs w:val="24"/>
              </w:rPr>
              <w:fldChar w:fldCharType="end"/>
            </w:r>
          </w:hyperlink>
        </w:p>
        <w:p w14:paraId="618683C6" w14:textId="08337711" w:rsidR="007D51AE" w:rsidRPr="00B44236" w:rsidRDefault="00000000">
          <w:pPr>
            <w:pStyle w:val="20"/>
            <w:tabs>
              <w:tab w:val="left" w:pos="660"/>
              <w:tab w:val="right" w:leader="dot" w:pos="8777"/>
            </w:tabs>
            <w:rPr>
              <w:rFonts w:ascii="Arial Narrow" w:eastAsiaTheme="minorEastAsia" w:hAnsi="Arial Narrow"/>
              <w:kern w:val="2"/>
              <w:sz w:val="24"/>
              <w:szCs w:val="24"/>
              <w:lang w:val="el-GR" w:eastAsia="el-GR"/>
              <w14:ligatures w14:val="standardContextual"/>
            </w:rPr>
          </w:pPr>
          <w:hyperlink w:anchor="_Toc145080427" w:history="1">
            <w:r w:rsidRPr="00B44236">
              <w:rPr>
                <w:rStyle w:val="-0"/>
                <w:rFonts w:ascii="Arial Narrow" w:hAnsi="Arial Narrow"/>
                <w:sz w:val="24"/>
                <w:szCs w:val="24"/>
              </w:rPr>
              <w:t>5.</w:t>
            </w:r>
            <w:r w:rsidRPr="00B44236">
              <w:rPr>
                <w:rFonts w:ascii="Arial Narrow" w:eastAsiaTheme="minorEastAsia" w:hAnsi="Arial Narrow"/>
                <w:kern w:val="2"/>
                <w:sz w:val="24"/>
                <w:szCs w:val="24"/>
                <w:lang w:val="el-GR" w:eastAsia="el-GR"/>
                <w14:ligatures w14:val="standardContextual"/>
              </w:rPr>
              <w:tab/>
            </w:r>
            <w:r w:rsidRPr="00B44236">
              <w:rPr>
                <w:rStyle w:val="-0"/>
                <w:rFonts w:ascii="Arial Narrow" w:hAnsi="Arial Narrow"/>
                <w:sz w:val="24"/>
                <w:szCs w:val="24"/>
              </w:rPr>
              <w:t>Κλάδος απασχόλησης και αναπηρία</w:t>
            </w:r>
            <w:r w:rsidRPr="00B44236">
              <w:rPr>
                <w:rFonts w:ascii="Arial Narrow" w:hAnsi="Arial Narrow"/>
                <w:sz w:val="24"/>
                <w:szCs w:val="24"/>
              </w:rPr>
              <w:tab/>
            </w:r>
            <w:r w:rsidRPr="00B44236">
              <w:rPr>
                <w:rFonts w:ascii="Arial Narrow" w:hAnsi="Arial Narrow"/>
                <w:sz w:val="24"/>
                <w:szCs w:val="24"/>
              </w:rPr>
              <w:fldChar w:fldCharType="begin"/>
            </w:r>
            <w:r w:rsidRPr="00B44236">
              <w:rPr>
                <w:rFonts w:ascii="Arial Narrow" w:hAnsi="Arial Narrow"/>
                <w:sz w:val="24"/>
                <w:szCs w:val="24"/>
              </w:rPr>
              <w:instrText xml:space="preserve"> PAGEREF _Toc145080427 \h </w:instrText>
            </w:r>
            <w:r w:rsidRPr="00B44236">
              <w:rPr>
                <w:rFonts w:ascii="Arial Narrow" w:hAnsi="Arial Narrow"/>
                <w:sz w:val="24"/>
                <w:szCs w:val="24"/>
              </w:rPr>
            </w:r>
            <w:r w:rsidRPr="00B44236">
              <w:rPr>
                <w:rFonts w:ascii="Arial Narrow" w:hAnsi="Arial Narrow"/>
                <w:sz w:val="24"/>
                <w:szCs w:val="24"/>
              </w:rPr>
              <w:fldChar w:fldCharType="separate"/>
            </w:r>
            <w:r w:rsidR="00436DBE">
              <w:rPr>
                <w:rFonts w:ascii="Arial Narrow" w:hAnsi="Arial Narrow"/>
                <w:noProof/>
                <w:sz w:val="24"/>
                <w:szCs w:val="24"/>
              </w:rPr>
              <w:t>16</w:t>
            </w:r>
            <w:r w:rsidRPr="00B44236">
              <w:rPr>
                <w:rFonts w:ascii="Arial Narrow" w:hAnsi="Arial Narrow"/>
                <w:sz w:val="24"/>
                <w:szCs w:val="24"/>
              </w:rPr>
              <w:fldChar w:fldCharType="end"/>
            </w:r>
          </w:hyperlink>
        </w:p>
        <w:p w14:paraId="007A2A1C" w14:textId="6BF102F7" w:rsidR="007D51AE" w:rsidRPr="00B44236" w:rsidRDefault="00000000">
          <w:pPr>
            <w:pStyle w:val="20"/>
            <w:tabs>
              <w:tab w:val="left" w:pos="660"/>
              <w:tab w:val="right" w:leader="dot" w:pos="8777"/>
            </w:tabs>
            <w:rPr>
              <w:rFonts w:ascii="Arial Narrow" w:eastAsiaTheme="minorEastAsia" w:hAnsi="Arial Narrow"/>
              <w:kern w:val="2"/>
              <w:sz w:val="24"/>
              <w:szCs w:val="24"/>
              <w:lang w:val="el-GR" w:eastAsia="el-GR"/>
              <w14:ligatures w14:val="standardContextual"/>
            </w:rPr>
          </w:pPr>
          <w:hyperlink w:anchor="_Toc145080428" w:history="1">
            <w:r w:rsidRPr="00B44236">
              <w:rPr>
                <w:rStyle w:val="-0"/>
                <w:rFonts w:ascii="Arial Narrow" w:hAnsi="Arial Narrow"/>
                <w:sz w:val="24"/>
                <w:szCs w:val="24"/>
              </w:rPr>
              <w:t>6.</w:t>
            </w:r>
            <w:r w:rsidRPr="00B44236">
              <w:rPr>
                <w:rFonts w:ascii="Arial Narrow" w:eastAsiaTheme="minorEastAsia" w:hAnsi="Arial Narrow"/>
                <w:kern w:val="2"/>
                <w:sz w:val="24"/>
                <w:szCs w:val="24"/>
                <w:lang w:val="el-GR" w:eastAsia="el-GR"/>
                <w14:ligatures w14:val="standardContextual"/>
              </w:rPr>
              <w:tab/>
            </w:r>
            <w:r w:rsidRPr="00B44236">
              <w:rPr>
                <w:rStyle w:val="-0"/>
                <w:rFonts w:ascii="Arial Narrow" w:hAnsi="Arial Narrow"/>
                <w:sz w:val="24"/>
                <w:szCs w:val="24"/>
              </w:rPr>
              <w:t>Μέθοδοι εύρεσης εργασίας και αναπηρία</w:t>
            </w:r>
            <w:r w:rsidRPr="00B44236">
              <w:rPr>
                <w:rFonts w:ascii="Arial Narrow" w:hAnsi="Arial Narrow"/>
                <w:sz w:val="24"/>
                <w:szCs w:val="24"/>
              </w:rPr>
              <w:tab/>
            </w:r>
            <w:r w:rsidRPr="00B44236">
              <w:rPr>
                <w:rFonts w:ascii="Arial Narrow" w:hAnsi="Arial Narrow"/>
                <w:sz w:val="24"/>
                <w:szCs w:val="24"/>
              </w:rPr>
              <w:fldChar w:fldCharType="begin"/>
            </w:r>
            <w:r w:rsidRPr="00B44236">
              <w:rPr>
                <w:rFonts w:ascii="Arial Narrow" w:hAnsi="Arial Narrow"/>
                <w:sz w:val="24"/>
                <w:szCs w:val="24"/>
              </w:rPr>
              <w:instrText xml:space="preserve"> PAGEREF _Toc145080428 \h </w:instrText>
            </w:r>
            <w:r w:rsidRPr="00B44236">
              <w:rPr>
                <w:rFonts w:ascii="Arial Narrow" w:hAnsi="Arial Narrow"/>
                <w:sz w:val="24"/>
                <w:szCs w:val="24"/>
              </w:rPr>
            </w:r>
            <w:r w:rsidRPr="00B44236">
              <w:rPr>
                <w:rFonts w:ascii="Arial Narrow" w:hAnsi="Arial Narrow"/>
                <w:sz w:val="24"/>
                <w:szCs w:val="24"/>
              </w:rPr>
              <w:fldChar w:fldCharType="separate"/>
            </w:r>
            <w:r w:rsidR="00436DBE">
              <w:rPr>
                <w:rFonts w:ascii="Arial Narrow" w:hAnsi="Arial Narrow"/>
                <w:noProof/>
                <w:sz w:val="24"/>
                <w:szCs w:val="24"/>
              </w:rPr>
              <w:t>17</w:t>
            </w:r>
            <w:r w:rsidRPr="00B44236">
              <w:rPr>
                <w:rFonts w:ascii="Arial Narrow" w:hAnsi="Arial Narrow"/>
                <w:sz w:val="24"/>
                <w:szCs w:val="24"/>
              </w:rPr>
              <w:fldChar w:fldCharType="end"/>
            </w:r>
          </w:hyperlink>
        </w:p>
        <w:p w14:paraId="69AE2C37" w14:textId="14BBF493" w:rsidR="007D51AE" w:rsidRPr="00B44236" w:rsidRDefault="00000000">
          <w:pPr>
            <w:pStyle w:val="20"/>
            <w:tabs>
              <w:tab w:val="left" w:pos="660"/>
              <w:tab w:val="right" w:leader="dot" w:pos="8777"/>
            </w:tabs>
            <w:rPr>
              <w:rFonts w:ascii="Arial Narrow" w:eastAsiaTheme="minorEastAsia" w:hAnsi="Arial Narrow"/>
              <w:kern w:val="2"/>
              <w:sz w:val="24"/>
              <w:szCs w:val="24"/>
              <w:lang w:val="el-GR" w:eastAsia="el-GR"/>
              <w14:ligatures w14:val="standardContextual"/>
            </w:rPr>
          </w:pPr>
          <w:hyperlink w:anchor="_Toc145080429" w:history="1">
            <w:r w:rsidRPr="00B44236">
              <w:rPr>
                <w:rStyle w:val="-0"/>
                <w:rFonts w:ascii="Arial Narrow" w:hAnsi="Arial Narrow"/>
                <w:sz w:val="24"/>
                <w:szCs w:val="24"/>
              </w:rPr>
              <w:t>7.</w:t>
            </w:r>
            <w:r w:rsidRPr="00B44236">
              <w:rPr>
                <w:rFonts w:ascii="Arial Narrow" w:eastAsiaTheme="minorEastAsia" w:hAnsi="Arial Narrow"/>
                <w:kern w:val="2"/>
                <w:sz w:val="24"/>
                <w:szCs w:val="24"/>
                <w:lang w:val="el-GR" w:eastAsia="el-GR"/>
                <w14:ligatures w14:val="standardContextual"/>
              </w:rPr>
              <w:tab/>
            </w:r>
            <w:r w:rsidRPr="00B44236">
              <w:rPr>
                <w:rStyle w:val="-0"/>
                <w:rFonts w:ascii="Arial Narrow" w:hAnsi="Arial Narrow"/>
                <w:sz w:val="24"/>
                <w:szCs w:val="24"/>
              </w:rPr>
              <w:t>Νέοι και πρώιμη ενήλικη ζωή: άτομα με αναπηρία 15-44 ετών</w:t>
            </w:r>
            <w:r w:rsidRPr="00B44236">
              <w:rPr>
                <w:rFonts w:ascii="Arial Narrow" w:hAnsi="Arial Narrow"/>
                <w:sz w:val="24"/>
                <w:szCs w:val="24"/>
              </w:rPr>
              <w:tab/>
            </w:r>
            <w:r w:rsidRPr="00B44236">
              <w:rPr>
                <w:rFonts w:ascii="Arial Narrow" w:hAnsi="Arial Narrow"/>
                <w:sz w:val="24"/>
                <w:szCs w:val="24"/>
              </w:rPr>
              <w:fldChar w:fldCharType="begin"/>
            </w:r>
            <w:r w:rsidRPr="00B44236">
              <w:rPr>
                <w:rFonts w:ascii="Arial Narrow" w:hAnsi="Arial Narrow"/>
                <w:sz w:val="24"/>
                <w:szCs w:val="24"/>
              </w:rPr>
              <w:instrText xml:space="preserve"> PAGEREF _Toc145080429 \h </w:instrText>
            </w:r>
            <w:r w:rsidRPr="00B44236">
              <w:rPr>
                <w:rFonts w:ascii="Arial Narrow" w:hAnsi="Arial Narrow"/>
                <w:sz w:val="24"/>
                <w:szCs w:val="24"/>
              </w:rPr>
            </w:r>
            <w:r w:rsidRPr="00B44236">
              <w:rPr>
                <w:rFonts w:ascii="Arial Narrow" w:hAnsi="Arial Narrow"/>
                <w:sz w:val="24"/>
                <w:szCs w:val="24"/>
              </w:rPr>
              <w:fldChar w:fldCharType="separate"/>
            </w:r>
            <w:r w:rsidR="00436DBE">
              <w:rPr>
                <w:rFonts w:ascii="Arial Narrow" w:hAnsi="Arial Narrow"/>
                <w:noProof/>
                <w:sz w:val="24"/>
                <w:szCs w:val="24"/>
              </w:rPr>
              <w:t>19</w:t>
            </w:r>
            <w:r w:rsidRPr="00B44236">
              <w:rPr>
                <w:rFonts w:ascii="Arial Narrow" w:hAnsi="Arial Narrow"/>
                <w:sz w:val="24"/>
                <w:szCs w:val="24"/>
              </w:rPr>
              <w:fldChar w:fldCharType="end"/>
            </w:r>
          </w:hyperlink>
        </w:p>
        <w:p w14:paraId="59E33516" w14:textId="33C2DF0F" w:rsidR="007D51AE" w:rsidRPr="00B44236" w:rsidRDefault="00000000">
          <w:pPr>
            <w:pStyle w:val="10"/>
            <w:rPr>
              <w:rFonts w:ascii="Arial Narrow" w:eastAsiaTheme="minorEastAsia" w:hAnsi="Arial Narrow"/>
              <w:kern w:val="2"/>
              <w:sz w:val="24"/>
              <w:szCs w:val="24"/>
              <w:lang w:val="el-GR" w:eastAsia="el-GR"/>
              <w14:ligatures w14:val="standardContextual"/>
            </w:rPr>
          </w:pPr>
          <w:hyperlink w:anchor="_Toc145080430" w:history="1">
            <w:r w:rsidRPr="00B44236">
              <w:rPr>
                <w:rStyle w:val="-0"/>
                <w:rFonts w:ascii="Arial Narrow" w:hAnsi="Arial Narrow"/>
                <w:sz w:val="24"/>
                <w:szCs w:val="24"/>
              </w:rPr>
              <w:t>ΠΑΡΑΡΤΗΜΑ</w:t>
            </w:r>
            <w:r w:rsidRPr="00B44236">
              <w:rPr>
                <w:rFonts w:ascii="Arial Narrow" w:hAnsi="Arial Narrow"/>
                <w:sz w:val="24"/>
                <w:szCs w:val="24"/>
              </w:rPr>
              <w:tab/>
            </w:r>
            <w:r w:rsidRPr="00B44236">
              <w:rPr>
                <w:rFonts w:ascii="Arial Narrow" w:hAnsi="Arial Narrow"/>
                <w:sz w:val="24"/>
                <w:szCs w:val="24"/>
              </w:rPr>
              <w:fldChar w:fldCharType="begin"/>
            </w:r>
            <w:r w:rsidRPr="00B44236">
              <w:rPr>
                <w:rFonts w:ascii="Arial Narrow" w:hAnsi="Arial Narrow"/>
                <w:sz w:val="24"/>
                <w:szCs w:val="24"/>
              </w:rPr>
              <w:instrText xml:space="preserve"> PAGEREF _Toc145080430 \h </w:instrText>
            </w:r>
            <w:r w:rsidRPr="00B44236">
              <w:rPr>
                <w:rFonts w:ascii="Arial Narrow" w:hAnsi="Arial Narrow"/>
                <w:sz w:val="24"/>
                <w:szCs w:val="24"/>
              </w:rPr>
            </w:r>
            <w:r w:rsidRPr="00B44236">
              <w:rPr>
                <w:rFonts w:ascii="Arial Narrow" w:hAnsi="Arial Narrow"/>
                <w:sz w:val="24"/>
                <w:szCs w:val="24"/>
              </w:rPr>
              <w:fldChar w:fldCharType="separate"/>
            </w:r>
            <w:r w:rsidR="00436DBE">
              <w:rPr>
                <w:rFonts w:ascii="Arial Narrow" w:hAnsi="Arial Narrow"/>
                <w:noProof/>
                <w:sz w:val="24"/>
                <w:szCs w:val="24"/>
              </w:rPr>
              <w:t>22</w:t>
            </w:r>
            <w:r w:rsidRPr="00B44236">
              <w:rPr>
                <w:rFonts w:ascii="Arial Narrow" w:hAnsi="Arial Narrow"/>
                <w:sz w:val="24"/>
                <w:szCs w:val="24"/>
              </w:rPr>
              <w:fldChar w:fldCharType="end"/>
            </w:r>
          </w:hyperlink>
        </w:p>
        <w:p w14:paraId="7C788300" w14:textId="77777777" w:rsidR="007D51AE" w:rsidRDefault="00000000">
          <w:pPr>
            <w:pStyle w:val="10"/>
            <w:rPr>
              <w:lang w:val="el-GR"/>
            </w:rPr>
          </w:pPr>
          <w:r w:rsidRPr="00B44236">
            <w:rPr>
              <w:rFonts w:ascii="Arial Narrow" w:hAnsi="Arial Narrow"/>
              <w:sz w:val="26"/>
              <w:szCs w:val="26"/>
              <w:lang w:val="el-GR"/>
            </w:rPr>
            <w:fldChar w:fldCharType="end"/>
          </w:r>
        </w:p>
      </w:sdtContent>
    </w:sdt>
    <w:p w14:paraId="0C0C6373" w14:textId="77777777" w:rsidR="00B44236" w:rsidRDefault="00B44236">
      <w:pPr>
        <w:jc w:val="center"/>
        <w:rPr>
          <w:rFonts w:asciiTheme="majorHAnsi" w:eastAsiaTheme="majorEastAsia" w:hAnsiTheme="majorHAnsi" w:cstheme="majorBidi"/>
          <w:b/>
          <w:bCs/>
          <w:color w:val="000000" w:themeColor="text1"/>
          <w:sz w:val="32"/>
          <w:szCs w:val="32"/>
          <w:u w:val="single"/>
        </w:rPr>
      </w:pPr>
    </w:p>
    <w:p w14:paraId="36469A6D" w14:textId="250D5897" w:rsidR="007D51AE" w:rsidRDefault="00000000">
      <w:pPr>
        <w:jc w:val="center"/>
        <w:rPr>
          <w:rFonts w:asciiTheme="majorHAnsi" w:eastAsiaTheme="majorEastAsia" w:hAnsiTheme="majorHAnsi" w:cstheme="majorBidi"/>
          <w:b/>
          <w:bCs/>
          <w:color w:val="000000" w:themeColor="text1"/>
          <w:sz w:val="32"/>
          <w:szCs w:val="32"/>
          <w:u w:val="single"/>
        </w:rPr>
      </w:pPr>
      <w:r>
        <w:rPr>
          <w:rFonts w:asciiTheme="majorHAnsi" w:eastAsiaTheme="majorEastAsia" w:hAnsiTheme="majorHAnsi" w:cstheme="majorBidi"/>
          <w:b/>
          <w:bCs/>
          <w:color w:val="000000" w:themeColor="text1"/>
          <w:sz w:val="32"/>
          <w:szCs w:val="32"/>
          <w:u w:val="single"/>
        </w:rPr>
        <w:t>ΓΡΑΦ</w:t>
      </w:r>
      <w:r>
        <w:rPr>
          <w:rFonts w:asciiTheme="majorHAnsi" w:eastAsiaTheme="majorEastAsia" w:hAnsiTheme="majorHAnsi" w:cstheme="majorBidi"/>
          <w:b/>
          <w:bCs/>
          <w:color w:val="000000" w:themeColor="text1"/>
          <w:sz w:val="32"/>
          <w:szCs w:val="32"/>
          <w:u w:val="single"/>
          <w:lang w:val="el-GR"/>
        </w:rPr>
        <w:t>Η</w:t>
      </w:r>
      <w:r>
        <w:rPr>
          <w:rFonts w:asciiTheme="majorHAnsi" w:eastAsiaTheme="majorEastAsia" w:hAnsiTheme="majorHAnsi" w:cstheme="majorBidi"/>
          <w:b/>
          <w:bCs/>
          <w:color w:val="000000" w:themeColor="text1"/>
          <w:sz w:val="32"/>
          <w:szCs w:val="32"/>
          <w:u w:val="single"/>
        </w:rPr>
        <w:t>ΜΑΤΑ</w:t>
      </w:r>
    </w:p>
    <w:p w14:paraId="4D9F1227" w14:textId="6BF367A0" w:rsidR="007D51AE" w:rsidRPr="00B44236" w:rsidRDefault="00000000" w:rsidP="00B44236">
      <w:pPr>
        <w:pStyle w:val="af"/>
        <w:tabs>
          <w:tab w:val="right" w:leader="dot" w:pos="8777"/>
        </w:tabs>
        <w:spacing w:after="120"/>
        <w:rPr>
          <w:rFonts w:ascii="Arial Narrow" w:eastAsiaTheme="minorEastAsia" w:hAnsi="Arial Narrow"/>
          <w:kern w:val="2"/>
          <w:sz w:val="23"/>
          <w:szCs w:val="23"/>
          <w:lang w:val="el-GR" w:eastAsia="el-GR"/>
          <w14:ligatures w14:val="standardContextual"/>
        </w:rPr>
      </w:pPr>
      <w:r>
        <w:rPr>
          <w:rFonts w:cstheme="minorHAnsi"/>
          <w:bCs/>
          <w:highlight w:val="yellow"/>
          <w:lang w:val="el-GR"/>
        </w:rPr>
        <w:fldChar w:fldCharType="begin"/>
      </w:r>
      <w:r>
        <w:rPr>
          <w:rFonts w:cstheme="minorHAnsi"/>
          <w:bCs/>
          <w:highlight w:val="yellow"/>
          <w:lang w:val="el-GR"/>
        </w:rPr>
        <w:instrText xml:space="preserve"> TOC \h \z \c "Γράφημα" </w:instrText>
      </w:r>
      <w:r>
        <w:rPr>
          <w:rFonts w:cstheme="minorHAnsi"/>
          <w:bCs/>
          <w:highlight w:val="yellow"/>
          <w:lang w:val="el-GR"/>
        </w:rPr>
        <w:fldChar w:fldCharType="separate"/>
      </w:r>
      <w:hyperlink w:anchor="_Toc145080444" w:history="1">
        <w:r w:rsidRPr="00B44236">
          <w:rPr>
            <w:rStyle w:val="-0"/>
            <w:rFonts w:ascii="Arial Narrow" w:eastAsia="Times New Roman" w:hAnsi="Arial Narrow" w:cstheme="majorHAnsi"/>
            <w:sz w:val="23"/>
            <w:szCs w:val="23"/>
            <w:lang w:val="el-GR" w:eastAsia="de-DE"/>
          </w:rPr>
          <w:t>Γράφημα 1: Πλήθος ατόμων με αναπηρία κατά ομάδα ηλικίας (ΕΕΔ, 2022)</w:t>
        </w:r>
        <w:r w:rsidRPr="00B44236">
          <w:rPr>
            <w:rFonts w:ascii="Arial Narrow" w:hAnsi="Arial Narrow"/>
            <w:sz w:val="23"/>
            <w:szCs w:val="23"/>
          </w:rPr>
          <w:tab/>
        </w:r>
        <w:r w:rsidRPr="00B44236">
          <w:rPr>
            <w:rFonts w:ascii="Arial Narrow" w:hAnsi="Arial Narrow"/>
            <w:sz w:val="23"/>
            <w:szCs w:val="23"/>
          </w:rPr>
          <w:fldChar w:fldCharType="begin"/>
        </w:r>
        <w:r w:rsidRPr="00B44236">
          <w:rPr>
            <w:rFonts w:ascii="Arial Narrow" w:hAnsi="Arial Narrow"/>
            <w:sz w:val="23"/>
            <w:szCs w:val="23"/>
          </w:rPr>
          <w:instrText xml:space="preserve"> PAGEREF _Toc145080444 \h </w:instrText>
        </w:r>
        <w:r w:rsidRPr="00B44236">
          <w:rPr>
            <w:rFonts w:ascii="Arial Narrow" w:hAnsi="Arial Narrow"/>
            <w:sz w:val="23"/>
            <w:szCs w:val="23"/>
          </w:rPr>
        </w:r>
        <w:r w:rsidRPr="00B44236">
          <w:rPr>
            <w:rFonts w:ascii="Arial Narrow" w:hAnsi="Arial Narrow"/>
            <w:sz w:val="23"/>
            <w:szCs w:val="23"/>
          </w:rPr>
          <w:fldChar w:fldCharType="separate"/>
        </w:r>
        <w:r w:rsidR="00436DBE">
          <w:rPr>
            <w:rFonts w:ascii="Arial Narrow" w:hAnsi="Arial Narrow"/>
            <w:noProof/>
            <w:sz w:val="23"/>
            <w:szCs w:val="23"/>
          </w:rPr>
          <w:t>10</w:t>
        </w:r>
        <w:r w:rsidRPr="00B44236">
          <w:rPr>
            <w:rFonts w:ascii="Arial Narrow" w:hAnsi="Arial Narrow"/>
            <w:sz w:val="23"/>
            <w:szCs w:val="23"/>
          </w:rPr>
          <w:fldChar w:fldCharType="end"/>
        </w:r>
      </w:hyperlink>
    </w:p>
    <w:p w14:paraId="6A8831BD" w14:textId="3EA0A92B" w:rsidR="007D51AE" w:rsidRPr="00B44236" w:rsidRDefault="00000000" w:rsidP="00B44236">
      <w:pPr>
        <w:pStyle w:val="af"/>
        <w:tabs>
          <w:tab w:val="right" w:leader="dot" w:pos="8777"/>
        </w:tabs>
        <w:spacing w:after="120"/>
        <w:rPr>
          <w:rFonts w:ascii="Arial Narrow" w:eastAsiaTheme="minorEastAsia" w:hAnsi="Arial Narrow"/>
          <w:kern w:val="2"/>
          <w:sz w:val="23"/>
          <w:szCs w:val="23"/>
          <w:lang w:val="el-GR" w:eastAsia="el-GR"/>
          <w14:ligatures w14:val="standardContextual"/>
        </w:rPr>
      </w:pPr>
      <w:hyperlink w:anchor="_Toc145080445" w:history="1">
        <w:r w:rsidRPr="00B44236">
          <w:rPr>
            <w:rStyle w:val="-0"/>
            <w:rFonts w:ascii="Arial Narrow" w:eastAsia="Times New Roman" w:hAnsi="Arial Narrow" w:cstheme="majorHAnsi"/>
            <w:sz w:val="23"/>
            <w:szCs w:val="23"/>
            <w:lang w:val="el-GR" w:eastAsia="de-DE"/>
          </w:rPr>
          <w:t>Γράφημα 2: Άτομα με αναπηρία και κατανομή ανά φύλο (ΕΕΔ,2022)</w:t>
        </w:r>
        <w:r w:rsidRPr="00B44236">
          <w:rPr>
            <w:rFonts w:ascii="Arial Narrow" w:hAnsi="Arial Narrow"/>
            <w:sz w:val="23"/>
            <w:szCs w:val="23"/>
          </w:rPr>
          <w:tab/>
        </w:r>
        <w:r w:rsidRPr="00B44236">
          <w:rPr>
            <w:rFonts w:ascii="Arial Narrow" w:hAnsi="Arial Narrow"/>
            <w:sz w:val="23"/>
            <w:szCs w:val="23"/>
          </w:rPr>
          <w:fldChar w:fldCharType="begin"/>
        </w:r>
        <w:r w:rsidRPr="00B44236">
          <w:rPr>
            <w:rFonts w:ascii="Arial Narrow" w:hAnsi="Arial Narrow"/>
            <w:sz w:val="23"/>
            <w:szCs w:val="23"/>
          </w:rPr>
          <w:instrText xml:space="preserve"> PAGEREF _Toc145080445 \h </w:instrText>
        </w:r>
        <w:r w:rsidRPr="00B44236">
          <w:rPr>
            <w:rFonts w:ascii="Arial Narrow" w:hAnsi="Arial Narrow"/>
            <w:sz w:val="23"/>
            <w:szCs w:val="23"/>
          </w:rPr>
        </w:r>
        <w:r w:rsidRPr="00B44236">
          <w:rPr>
            <w:rFonts w:ascii="Arial Narrow" w:hAnsi="Arial Narrow"/>
            <w:sz w:val="23"/>
            <w:szCs w:val="23"/>
          </w:rPr>
          <w:fldChar w:fldCharType="separate"/>
        </w:r>
        <w:r w:rsidR="00436DBE">
          <w:rPr>
            <w:rFonts w:ascii="Arial Narrow" w:hAnsi="Arial Narrow"/>
            <w:noProof/>
            <w:sz w:val="23"/>
            <w:szCs w:val="23"/>
          </w:rPr>
          <w:t>10</w:t>
        </w:r>
        <w:r w:rsidRPr="00B44236">
          <w:rPr>
            <w:rFonts w:ascii="Arial Narrow" w:hAnsi="Arial Narrow"/>
            <w:sz w:val="23"/>
            <w:szCs w:val="23"/>
          </w:rPr>
          <w:fldChar w:fldCharType="end"/>
        </w:r>
      </w:hyperlink>
    </w:p>
    <w:p w14:paraId="05E91C1F" w14:textId="2D467AE3" w:rsidR="007D51AE" w:rsidRPr="00B44236" w:rsidRDefault="00000000" w:rsidP="00B44236">
      <w:pPr>
        <w:pStyle w:val="af"/>
        <w:tabs>
          <w:tab w:val="right" w:leader="dot" w:pos="8777"/>
        </w:tabs>
        <w:spacing w:after="120"/>
        <w:rPr>
          <w:rFonts w:ascii="Arial Narrow" w:eastAsiaTheme="minorEastAsia" w:hAnsi="Arial Narrow"/>
          <w:kern w:val="2"/>
          <w:sz w:val="23"/>
          <w:szCs w:val="23"/>
          <w:lang w:val="el-GR" w:eastAsia="el-GR"/>
          <w14:ligatures w14:val="standardContextual"/>
        </w:rPr>
      </w:pPr>
      <w:hyperlink w:anchor="_Toc145080446" w:history="1">
        <w:r w:rsidRPr="00B44236">
          <w:rPr>
            <w:rStyle w:val="-0"/>
            <w:rFonts w:ascii="Arial Narrow" w:eastAsia="Times New Roman" w:hAnsi="Arial Narrow" w:cstheme="majorHAnsi"/>
            <w:sz w:val="23"/>
            <w:szCs w:val="23"/>
            <w:lang w:val="el-GR" w:eastAsia="de-DE"/>
          </w:rPr>
          <w:t xml:space="preserve">Γράφημα 3: Δείκτης συμμετοχής στο εργατικό δυναμικό (οικονομικά ενεργός πληθυσμός) στα </w:t>
        </w:r>
        <w:r w:rsidR="00B44236" w:rsidRPr="00B44236">
          <w:rPr>
            <w:rStyle w:val="-0"/>
            <w:rFonts w:ascii="Arial Narrow" w:eastAsia="Times New Roman" w:hAnsi="Arial Narrow" w:cstheme="majorHAnsi"/>
            <w:sz w:val="23"/>
            <w:szCs w:val="23"/>
            <w:lang w:val="el-GR" w:eastAsia="de-DE"/>
          </w:rPr>
          <w:br/>
        </w:r>
        <w:r w:rsidRPr="00B44236">
          <w:rPr>
            <w:rStyle w:val="-0"/>
            <w:rFonts w:ascii="Arial Narrow" w:eastAsia="Times New Roman" w:hAnsi="Arial Narrow" w:cstheme="majorHAnsi"/>
            <w:sz w:val="23"/>
            <w:szCs w:val="23"/>
            <w:lang w:val="el-GR" w:eastAsia="de-DE"/>
          </w:rPr>
          <w:t>άτομα ηλικίας 20-64 ετών και κατάσταση αναπηρίας (ΕΕΔ,2022)</w:t>
        </w:r>
        <w:r w:rsidRPr="00B44236">
          <w:rPr>
            <w:rFonts w:ascii="Arial Narrow" w:hAnsi="Arial Narrow"/>
            <w:sz w:val="23"/>
            <w:szCs w:val="23"/>
          </w:rPr>
          <w:tab/>
        </w:r>
        <w:r w:rsidRPr="00B44236">
          <w:rPr>
            <w:rFonts w:ascii="Arial Narrow" w:hAnsi="Arial Narrow"/>
            <w:sz w:val="23"/>
            <w:szCs w:val="23"/>
          </w:rPr>
          <w:fldChar w:fldCharType="begin"/>
        </w:r>
        <w:r w:rsidRPr="00B44236">
          <w:rPr>
            <w:rFonts w:ascii="Arial Narrow" w:hAnsi="Arial Narrow"/>
            <w:sz w:val="23"/>
            <w:szCs w:val="23"/>
          </w:rPr>
          <w:instrText xml:space="preserve"> PAGEREF _Toc145080446 \h </w:instrText>
        </w:r>
        <w:r w:rsidRPr="00B44236">
          <w:rPr>
            <w:rFonts w:ascii="Arial Narrow" w:hAnsi="Arial Narrow"/>
            <w:sz w:val="23"/>
            <w:szCs w:val="23"/>
          </w:rPr>
        </w:r>
        <w:r w:rsidRPr="00B44236">
          <w:rPr>
            <w:rFonts w:ascii="Arial Narrow" w:hAnsi="Arial Narrow"/>
            <w:sz w:val="23"/>
            <w:szCs w:val="23"/>
          </w:rPr>
          <w:fldChar w:fldCharType="separate"/>
        </w:r>
        <w:r w:rsidR="00436DBE">
          <w:rPr>
            <w:rFonts w:ascii="Arial Narrow" w:hAnsi="Arial Narrow"/>
            <w:noProof/>
            <w:sz w:val="23"/>
            <w:szCs w:val="23"/>
          </w:rPr>
          <w:t>11</w:t>
        </w:r>
        <w:r w:rsidRPr="00B44236">
          <w:rPr>
            <w:rFonts w:ascii="Arial Narrow" w:hAnsi="Arial Narrow"/>
            <w:sz w:val="23"/>
            <w:szCs w:val="23"/>
          </w:rPr>
          <w:fldChar w:fldCharType="end"/>
        </w:r>
      </w:hyperlink>
    </w:p>
    <w:p w14:paraId="5AE8796C" w14:textId="0813CDB0" w:rsidR="007D51AE" w:rsidRPr="00B44236" w:rsidRDefault="00000000" w:rsidP="00B44236">
      <w:pPr>
        <w:pStyle w:val="af"/>
        <w:tabs>
          <w:tab w:val="right" w:leader="dot" w:pos="8777"/>
        </w:tabs>
        <w:spacing w:after="120"/>
        <w:rPr>
          <w:rFonts w:ascii="Arial Narrow" w:eastAsiaTheme="minorEastAsia" w:hAnsi="Arial Narrow"/>
          <w:kern w:val="2"/>
          <w:sz w:val="23"/>
          <w:szCs w:val="23"/>
          <w:lang w:val="el-GR" w:eastAsia="el-GR"/>
          <w14:ligatures w14:val="standardContextual"/>
        </w:rPr>
      </w:pPr>
      <w:hyperlink w:anchor="_Toc145080447" w:history="1">
        <w:r w:rsidRPr="00B44236">
          <w:rPr>
            <w:rStyle w:val="-0"/>
            <w:rFonts w:ascii="Arial Narrow" w:eastAsia="Times New Roman" w:hAnsi="Arial Narrow" w:cstheme="majorHAnsi"/>
            <w:sz w:val="23"/>
            <w:szCs w:val="23"/>
            <w:lang w:val="el-GR" w:eastAsia="de-DE"/>
          </w:rPr>
          <w:t>Γράφημα 4: Δείκτης απασχόλησης και κατάσταση αναπηρίας στην ηλικιακή ομάδα</w:t>
        </w:r>
        <w:r w:rsidR="00B44236" w:rsidRPr="00B44236">
          <w:rPr>
            <w:rStyle w:val="-0"/>
            <w:rFonts w:ascii="Arial Narrow" w:eastAsia="Times New Roman" w:hAnsi="Arial Narrow" w:cstheme="majorHAnsi"/>
            <w:sz w:val="23"/>
            <w:szCs w:val="23"/>
            <w:lang w:val="el-GR" w:eastAsia="de-DE"/>
          </w:rPr>
          <w:br/>
        </w:r>
        <w:r w:rsidRPr="00B44236">
          <w:rPr>
            <w:rStyle w:val="-0"/>
            <w:rFonts w:ascii="Arial Narrow" w:eastAsia="Times New Roman" w:hAnsi="Arial Narrow" w:cstheme="majorHAnsi"/>
            <w:sz w:val="23"/>
            <w:szCs w:val="23"/>
            <w:lang w:val="el-GR" w:eastAsia="de-DE"/>
          </w:rPr>
          <w:t xml:space="preserve"> 20-64 ετών (ΕΕΔ,2022)</w:t>
        </w:r>
        <w:r w:rsidRPr="00B44236">
          <w:rPr>
            <w:rFonts w:ascii="Arial Narrow" w:hAnsi="Arial Narrow"/>
            <w:sz w:val="23"/>
            <w:szCs w:val="23"/>
          </w:rPr>
          <w:tab/>
        </w:r>
        <w:r w:rsidRPr="00B44236">
          <w:rPr>
            <w:rFonts w:ascii="Arial Narrow" w:hAnsi="Arial Narrow"/>
            <w:sz w:val="23"/>
            <w:szCs w:val="23"/>
          </w:rPr>
          <w:fldChar w:fldCharType="begin"/>
        </w:r>
        <w:r w:rsidRPr="00B44236">
          <w:rPr>
            <w:rFonts w:ascii="Arial Narrow" w:hAnsi="Arial Narrow"/>
            <w:sz w:val="23"/>
            <w:szCs w:val="23"/>
          </w:rPr>
          <w:instrText xml:space="preserve"> PAGEREF _Toc145080447 \h </w:instrText>
        </w:r>
        <w:r w:rsidRPr="00B44236">
          <w:rPr>
            <w:rFonts w:ascii="Arial Narrow" w:hAnsi="Arial Narrow"/>
            <w:sz w:val="23"/>
            <w:szCs w:val="23"/>
          </w:rPr>
        </w:r>
        <w:r w:rsidRPr="00B44236">
          <w:rPr>
            <w:rFonts w:ascii="Arial Narrow" w:hAnsi="Arial Narrow"/>
            <w:sz w:val="23"/>
            <w:szCs w:val="23"/>
          </w:rPr>
          <w:fldChar w:fldCharType="separate"/>
        </w:r>
        <w:r w:rsidR="00436DBE">
          <w:rPr>
            <w:rFonts w:ascii="Arial Narrow" w:hAnsi="Arial Narrow"/>
            <w:noProof/>
            <w:sz w:val="23"/>
            <w:szCs w:val="23"/>
          </w:rPr>
          <w:t>12</w:t>
        </w:r>
        <w:r w:rsidRPr="00B44236">
          <w:rPr>
            <w:rFonts w:ascii="Arial Narrow" w:hAnsi="Arial Narrow"/>
            <w:sz w:val="23"/>
            <w:szCs w:val="23"/>
          </w:rPr>
          <w:fldChar w:fldCharType="end"/>
        </w:r>
      </w:hyperlink>
    </w:p>
    <w:p w14:paraId="23870BDD" w14:textId="2DE311BC" w:rsidR="007D51AE" w:rsidRPr="00B44236" w:rsidRDefault="00000000" w:rsidP="00B44236">
      <w:pPr>
        <w:pStyle w:val="af"/>
        <w:tabs>
          <w:tab w:val="right" w:leader="dot" w:pos="8777"/>
        </w:tabs>
        <w:spacing w:after="120"/>
        <w:rPr>
          <w:rFonts w:ascii="Arial Narrow" w:eastAsiaTheme="minorEastAsia" w:hAnsi="Arial Narrow"/>
          <w:kern w:val="2"/>
          <w:sz w:val="23"/>
          <w:szCs w:val="23"/>
          <w:lang w:val="el-GR" w:eastAsia="el-GR"/>
          <w14:ligatures w14:val="standardContextual"/>
        </w:rPr>
      </w:pPr>
      <w:hyperlink w:anchor="_Toc145080448" w:history="1">
        <w:r w:rsidRPr="00B44236">
          <w:rPr>
            <w:rStyle w:val="-0"/>
            <w:rFonts w:ascii="Arial Narrow" w:eastAsia="Times New Roman" w:hAnsi="Arial Narrow" w:cstheme="majorHAnsi"/>
            <w:sz w:val="23"/>
            <w:szCs w:val="23"/>
            <w:lang w:val="el-GR" w:eastAsia="de-DE"/>
          </w:rPr>
          <w:t>Γράφημα 5: Δείκτης ανεργίας και κατάσταση αναπηρίας στην ηλικιακή ομάδα 20-64 ετών (ΕΕΔ,2022)</w:t>
        </w:r>
        <w:r w:rsidRPr="00B44236">
          <w:rPr>
            <w:rFonts w:ascii="Arial Narrow" w:hAnsi="Arial Narrow"/>
            <w:sz w:val="23"/>
            <w:szCs w:val="23"/>
          </w:rPr>
          <w:tab/>
        </w:r>
        <w:r w:rsidRPr="00B44236">
          <w:rPr>
            <w:rFonts w:ascii="Arial Narrow" w:hAnsi="Arial Narrow"/>
            <w:sz w:val="23"/>
            <w:szCs w:val="23"/>
          </w:rPr>
          <w:fldChar w:fldCharType="begin"/>
        </w:r>
        <w:r w:rsidRPr="00B44236">
          <w:rPr>
            <w:rFonts w:ascii="Arial Narrow" w:hAnsi="Arial Narrow"/>
            <w:sz w:val="23"/>
            <w:szCs w:val="23"/>
          </w:rPr>
          <w:instrText xml:space="preserve"> PAGEREF _Toc145080448 \h </w:instrText>
        </w:r>
        <w:r w:rsidRPr="00B44236">
          <w:rPr>
            <w:rFonts w:ascii="Arial Narrow" w:hAnsi="Arial Narrow"/>
            <w:sz w:val="23"/>
            <w:szCs w:val="23"/>
          </w:rPr>
        </w:r>
        <w:r w:rsidRPr="00B44236">
          <w:rPr>
            <w:rFonts w:ascii="Arial Narrow" w:hAnsi="Arial Narrow"/>
            <w:sz w:val="23"/>
            <w:szCs w:val="23"/>
          </w:rPr>
          <w:fldChar w:fldCharType="separate"/>
        </w:r>
        <w:r w:rsidR="00436DBE">
          <w:rPr>
            <w:rFonts w:ascii="Arial Narrow" w:hAnsi="Arial Narrow"/>
            <w:noProof/>
            <w:sz w:val="23"/>
            <w:szCs w:val="23"/>
          </w:rPr>
          <w:t>13</w:t>
        </w:r>
        <w:r w:rsidRPr="00B44236">
          <w:rPr>
            <w:rFonts w:ascii="Arial Narrow" w:hAnsi="Arial Narrow"/>
            <w:sz w:val="23"/>
            <w:szCs w:val="23"/>
          </w:rPr>
          <w:fldChar w:fldCharType="end"/>
        </w:r>
      </w:hyperlink>
    </w:p>
    <w:p w14:paraId="0EDED8C8" w14:textId="6590C6FA" w:rsidR="007D51AE" w:rsidRPr="00B44236" w:rsidRDefault="00000000" w:rsidP="00B44236">
      <w:pPr>
        <w:pStyle w:val="af"/>
        <w:tabs>
          <w:tab w:val="right" w:leader="dot" w:pos="8777"/>
        </w:tabs>
        <w:spacing w:after="120"/>
        <w:rPr>
          <w:rFonts w:ascii="Arial Narrow" w:eastAsiaTheme="minorEastAsia" w:hAnsi="Arial Narrow"/>
          <w:kern w:val="2"/>
          <w:sz w:val="23"/>
          <w:szCs w:val="23"/>
          <w:lang w:val="el-GR" w:eastAsia="el-GR"/>
          <w14:ligatures w14:val="standardContextual"/>
        </w:rPr>
      </w:pPr>
      <w:hyperlink w:anchor="_Toc145080449" w:history="1">
        <w:r w:rsidRPr="00B44236">
          <w:rPr>
            <w:rStyle w:val="-0"/>
            <w:rFonts w:ascii="Arial Narrow" w:eastAsia="Times New Roman" w:hAnsi="Arial Narrow" w:cstheme="majorHAnsi"/>
            <w:sz w:val="23"/>
            <w:szCs w:val="23"/>
            <w:lang w:val="el-GR" w:eastAsia="de-DE"/>
          </w:rPr>
          <w:t xml:space="preserve">Γράφημα 6: Διάρκεια ανεργίας κατά </w:t>
        </w:r>
        <w:r w:rsidRPr="00B44236">
          <w:rPr>
            <w:rStyle w:val="-0"/>
            <w:rFonts w:ascii="Arial Narrow" w:eastAsia="Times New Roman" w:hAnsi="Arial Narrow" w:cstheme="majorHAnsi"/>
            <w:sz w:val="23"/>
            <w:szCs w:val="23"/>
            <w:lang w:eastAsia="de-DE"/>
          </w:rPr>
          <w:t>Eurostat</w:t>
        </w:r>
        <w:r w:rsidRPr="00B44236">
          <w:rPr>
            <w:rStyle w:val="-0"/>
            <w:rFonts w:ascii="Arial Narrow" w:eastAsia="Times New Roman" w:hAnsi="Arial Narrow" w:cstheme="majorHAnsi"/>
            <w:sz w:val="23"/>
            <w:szCs w:val="23"/>
            <w:lang w:val="el-GR" w:eastAsia="de-DE"/>
          </w:rPr>
          <w:t xml:space="preserve"> και κατάσταση αναπηρίας πληθυσμού </w:t>
        </w:r>
        <w:r w:rsidR="00B44236" w:rsidRPr="00B44236">
          <w:rPr>
            <w:rStyle w:val="-0"/>
            <w:rFonts w:ascii="Arial Narrow" w:eastAsia="Times New Roman" w:hAnsi="Arial Narrow" w:cstheme="majorHAnsi"/>
            <w:sz w:val="23"/>
            <w:szCs w:val="23"/>
            <w:lang w:val="el-GR" w:eastAsia="de-DE"/>
          </w:rPr>
          <w:br/>
        </w:r>
        <w:r w:rsidRPr="00B44236">
          <w:rPr>
            <w:rStyle w:val="-0"/>
            <w:rFonts w:ascii="Arial Narrow" w:eastAsia="Times New Roman" w:hAnsi="Arial Narrow" w:cstheme="majorHAnsi"/>
            <w:sz w:val="23"/>
            <w:szCs w:val="23"/>
            <w:lang w:val="el-GR" w:eastAsia="de-DE"/>
          </w:rPr>
          <w:t>20-64 ετών (ΕΕΔ,2022)</w:t>
        </w:r>
        <w:r w:rsidRPr="00B44236">
          <w:rPr>
            <w:rFonts w:ascii="Arial Narrow" w:hAnsi="Arial Narrow"/>
            <w:sz w:val="23"/>
            <w:szCs w:val="23"/>
          </w:rPr>
          <w:tab/>
        </w:r>
        <w:r w:rsidRPr="00B44236">
          <w:rPr>
            <w:rFonts w:ascii="Arial Narrow" w:hAnsi="Arial Narrow"/>
            <w:sz w:val="23"/>
            <w:szCs w:val="23"/>
          </w:rPr>
          <w:fldChar w:fldCharType="begin"/>
        </w:r>
        <w:r w:rsidRPr="00B44236">
          <w:rPr>
            <w:rFonts w:ascii="Arial Narrow" w:hAnsi="Arial Narrow"/>
            <w:sz w:val="23"/>
            <w:szCs w:val="23"/>
          </w:rPr>
          <w:instrText xml:space="preserve"> PAGEREF _Toc145080449 \h </w:instrText>
        </w:r>
        <w:r w:rsidRPr="00B44236">
          <w:rPr>
            <w:rFonts w:ascii="Arial Narrow" w:hAnsi="Arial Narrow"/>
            <w:sz w:val="23"/>
            <w:szCs w:val="23"/>
          </w:rPr>
        </w:r>
        <w:r w:rsidRPr="00B44236">
          <w:rPr>
            <w:rFonts w:ascii="Arial Narrow" w:hAnsi="Arial Narrow"/>
            <w:sz w:val="23"/>
            <w:szCs w:val="23"/>
          </w:rPr>
          <w:fldChar w:fldCharType="separate"/>
        </w:r>
        <w:r w:rsidR="00436DBE">
          <w:rPr>
            <w:rFonts w:ascii="Arial Narrow" w:hAnsi="Arial Narrow"/>
            <w:noProof/>
            <w:sz w:val="23"/>
            <w:szCs w:val="23"/>
          </w:rPr>
          <w:t>14</w:t>
        </w:r>
        <w:r w:rsidRPr="00B44236">
          <w:rPr>
            <w:rFonts w:ascii="Arial Narrow" w:hAnsi="Arial Narrow"/>
            <w:sz w:val="23"/>
            <w:szCs w:val="23"/>
          </w:rPr>
          <w:fldChar w:fldCharType="end"/>
        </w:r>
      </w:hyperlink>
    </w:p>
    <w:p w14:paraId="162F2CAD" w14:textId="52290868" w:rsidR="007D51AE" w:rsidRPr="00B44236" w:rsidRDefault="00000000" w:rsidP="00B44236">
      <w:pPr>
        <w:pStyle w:val="af"/>
        <w:tabs>
          <w:tab w:val="right" w:leader="dot" w:pos="8777"/>
        </w:tabs>
        <w:spacing w:after="120"/>
        <w:rPr>
          <w:rFonts w:ascii="Arial Narrow" w:eastAsiaTheme="minorEastAsia" w:hAnsi="Arial Narrow"/>
          <w:kern w:val="2"/>
          <w:sz w:val="23"/>
          <w:szCs w:val="23"/>
          <w:lang w:val="el-GR" w:eastAsia="el-GR"/>
          <w14:ligatures w14:val="standardContextual"/>
        </w:rPr>
      </w:pPr>
      <w:hyperlink w:anchor="_Toc145080450" w:history="1">
        <w:r w:rsidRPr="00B44236">
          <w:rPr>
            <w:rStyle w:val="-0"/>
            <w:rFonts w:ascii="Arial Narrow" w:eastAsia="Times New Roman" w:hAnsi="Arial Narrow" w:cstheme="majorHAnsi"/>
            <w:sz w:val="23"/>
            <w:szCs w:val="23"/>
            <w:lang w:val="el-GR" w:eastAsia="de-DE"/>
          </w:rPr>
          <w:t xml:space="preserve">Γράφημα 7: Κατάσταση απασχόλησης και εκπαιδευτικό επίπεδο πληθυσμού με αναπηρία </w:t>
        </w:r>
        <w:r w:rsidR="00B44236" w:rsidRPr="00B44236">
          <w:rPr>
            <w:rStyle w:val="-0"/>
            <w:rFonts w:ascii="Arial Narrow" w:eastAsia="Times New Roman" w:hAnsi="Arial Narrow" w:cstheme="majorHAnsi"/>
            <w:sz w:val="23"/>
            <w:szCs w:val="23"/>
            <w:lang w:val="el-GR" w:eastAsia="de-DE"/>
          </w:rPr>
          <w:br/>
        </w:r>
        <w:r w:rsidRPr="00B44236">
          <w:rPr>
            <w:rStyle w:val="-0"/>
            <w:rFonts w:ascii="Arial Narrow" w:eastAsia="Times New Roman" w:hAnsi="Arial Narrow" w:cstheme="majorHAnsi"/>
            <w:sz w:val="23"/>
            <w:szCs w:val="23"/>
            <w:lang w:val="el-GR" w:eastAsia="de-DE"/>
          </w:rPr>
          <w:t>20-64 ετών (ΕΕΔ,2022)</w:t>
        </w:r>
        <w:r w:rsidRPr="00B44236">
          <w:rPr>
            <w:rFonts w:ascii="Arial Narrow" w:hAnsi="Arial Narrow"/>
            <w:sz w:val="23"/>
            <w:szCs w:val="23"/>
          </w:rPr>
          <w:tab/>
        </w:r>
        <w:r w:rsidRPr="00B44236">
          <w:rPr>
            <w:rFonts w:ascii="Arial Narrow" w:hAnsi="Arial Narrow"/>
            <w:sz w:val="23"/>
            <w:szCs w:val="23"/>
          </w:rPr>
          <w:fldChar w:fldCharType="begin"/>
        </w:r>
        <w:r w:rsidRPr="00B44236">
          <w:rPr>
            <w:rFonts w:ascii="Arial Narrow" w:hAnsi="Arial Narrow"/>
            <w:sz w:val="23"/>
            <w:szCs w:val="23"/>
          </w:rPr>
          <w:instrText xml:space="preserve"> PAGEREF _Toc145080450 \h </w:instrText>
        </w:r>
        <w:r w:rsidRPr="00B44236">
          <w:rPr>
            <w:rFonts w:ascii="Arial Narrow" w:hAnsi="Arial Narrow"/>
            <w:sz w:val="23"/>
            <w:szCs w:val="23"/>
          </w:rPr>
        </w:r>
        <w:r w:rsidRPr="00B44236">
          <w:rPr>
            <w:rFonts w:ascii="Arial Narrow" w:hAnsi="Arial Narrow"/>
            <w:sz w:val="23"/>
            <w:szCs w:val="23"/>
          </w:rPr>
          <w:fldChar w:fldCharType="separate"/>
        </w:r>
        <w:r w:rsidR="00436DBE">
          <w:rPr>
            <w:rFonts w:ascii="Arial Narrow" w:hAnsi="Arial Narrow"/>
            <w:noProof/>
            <w:sz w:val="23"/>
            <w:szCs w:val="23"/>
          </w:rPr>
          <w:t>15</w:t>
        </w:r>
        <w:r w:rsidRPr="00B44236">
          <w:rPr>
            <w:rFonts w:ascii="Arial Narrow" w:hAnsi="Arial Narrow"/>
            <w:sz w:val="23"/>
            <w:szCs w:val="23"/>
          </w:rPr>
          <w:fldChar w:fldCharType="end"/>
        </w:r>
      </w:hyperlink>
    </w:p>
    <w:p w14:paraId="2AD1AF48" w14:textId="733D32FB" w:rsidR="007D51AE" w:rsidRPr="00B44236" w:rsidRDefault="00000000" w:rsidP="00B44236">
      <w:pPr>
        <w:pStyle w:val="af"/>
        <w:tabs>
          <w:tab w:val="right" w:leader="dot" w:pos="8777"/>
        </w:tabs>
        <w:spacing w:after="120"/>
        <w:rPr>
          <w:rFonts w:ascii="Arial Narrow" w:eastAsiaTheme="minorEastAsia" w:hAnsi="Arial Narrow"/>
          <w:kern w:val="2"/>
          <w:sz w:val="23"/>
          <w:szCs w:val="23"/>
          <w:lang w:val="el-GR" w:eastAsia="el-GR"/>
          <w14:ligatures w14:val="standardContextual"/>
        </w:rPr>
      </w:pPr>
      <w:hyperlink w:anchor="_Toc145080451" w:history="1">
        <w:r w:rsidRPr="00B44236">
          <w:rPr>
            <w:rStyle w:val="-0"/>
            <w:rFonts w:ascii="Arial Narrow" w:eastAsia="Times New Roman" w:hAnsi="Arial Narrow" w:cstheme="majorHAnsi"/>
            <w:sz w:val="23"/>
            <w:szCs w:val="23"/>
            <w:lang w:val="el-GR" w:eastAsia="de-DE"/>
          </w:rPr>
          <w:t>Γράφημα 8: Νέοι και ενήλικες 15-44 ετών: κατανομή ανά φύλο και κατάσταση αναπηρίας</w:t>
        </w:r>
        <w:r w:rsidRPr="00B44236">
          <w:rPr>
            <w:rFonts w:ascii="Arial Narrow" w:hAnsi="Arial Narrow"/>
            <w:sz w:val="23"/>
            <w:szCs w:val="23"/>
          </w:rPr>
          <w:tab/>
        </w:r>
        <w:r w:rsidRPr="00B44236">
          <w:rPr>
            <w:rFonts w:ascii="Arial Narrow" w:hAnsi="Arial Narrow"/>
            <w:sz w:val="23"/>
            <w:szCs w:val="23"/>
          </w:rPr>
          <w:fldChar w:fldCharType="begin"/>
        </w:r>
        <w:r w:rsidRPr="00B44236">
          <w:rPr>
            <w:rFonts w:ascii="Arial Narrow" w:hAnsi="Arial Narrow"/>
            <w:sz w:val="23"/>
            <w:szCs w:val="23"/>
          </w:rPr>
          <w:instrText xml:space="preserve"> PAGEREF _Toc145080451 \h </w:instrText>
        </w:r>
        <w:r w:rsidRPr="00B44236">
          <w:rPr>
            <w:rFonts w:ascii="Arial Narrow" w:hAnsi="Arial Narrow"/>
            <w:sz w:val="23"/>
            <w:szCs w:val="23"/>
          </w:rPr>
        </w:r>
        <w:r w:rsidRPr="00B44236">
          <w:rPr>
            <w:rFonts w:ascii="Arial Narrow" w:hAnsi="Arial Narrow"/>
            <w:sz w:val="23"/>
            <w:szCs w:val="23"/>
          </w:rPr>
          <w:fldChar w:fldCharType="separate"/>
        </w:r>
        <w:r w:rsidR="00436DBE">
          <w:rPr>
            <w:rFonts w:ascii="Arial Narrow" w:hAnsi="Arial Narrow"/>
            <w:noProof/>
            <w:sz w:val="23"/>
            <w:szCs w:val="23"/>
          </w:rPr>
          <w:t>19</w:t>
        </w:r>
        <w:r w:rsidRPr="00B44236">
          <w:rPr>
            <w:rFonts w:ascii="Arial Narrow" w:hAnsi="Arial Narrow"/>
            <w:sz w:val="23"/>
            <w:szCs w:val="23"/>
          </w:rPr>
          <w:fldChar w:fldCharType="end"/>
        </w:r>
      </w:hyperlink>
    </w:p>
    <w:p w14:paraId="493E2D1B" w14:textId="75B4BEDE" w:rsidR="007D51AE" w:rsidRPr="00B44236" w:rsidRDefault="00000000" w:rsidP="00B44236">
      <w:pPr>
        <w:pStyle w:val="af"/>
        <w:tabs>
          <w:tab w:val="right" w:leader="dot" w:pos="8777"/>
        </w:tabs>
        <w:spacing w:after="120"/>
        <w:rPr>
          <w:rFonts w:ascii="Arial Narrow" w:eastAsiaTheme="minorEastAsia" w:hAnsi="Arial Narrow"/>
          <w:kern w:val="2"/>
          <w:sz w:val="23"/>
          <w:szCs w:val="23"/>
          <w:lang w:val="el-GR" w:eastAsia="el-GR"/>
          <w14:ligatures w14:val="standardContextual"/>
        </w:rPr>
      </w:pPr>
      <w:hyperlink w:anchor="_Toc145080452" w:history="1">
        <w:r w:rsidRPr="00B44236">
          <w:rPr>
            <w:rStyle w:val="-0"/>
            <w:rFonts w:ascii="Arial Narrow" w:eastAsia="Times New Roman" w:hAnsi="Arial Narrow" w:cstheme="majorHAnsi"/>
            <w:sz w:val="23"/>
            <w:szCs w:val="23"/>
            <w:lang w:val="el-GR" w:eastAsia="de-DE"/>
          </w:rPr>
          <w:t xml:space="preserve">Γράφημα 9: Δείκτης συμμετοχής στο εργατικό δυναμικό (οικονομικά ενεργός πληθυσμός) </w:t>
        </w:r>
        <w:r w:rsidR="00B44236" w:rsidRPr="00B44236">
          <w:rPr>
            <w:rStyle w:val="-0"/>
            <w:rFonts w:ascii="Arial Narrow" w:eastAsia="Times New Roman" w:hAnsi="Arial Narrow" w:cstheme="majorHAnsi"/>
            <w:sz w:val="23"/>
            <w:szCs w:val="23"/>
            <w:lang w:val="el-GR" w:eastAsia="de-DE"/>
          </w:rPr>
          <w:br/>
        </w:r>
        <w:r w:rsidRPr="00B44236">
          <w:rPr>
            <w:rStyle w:val="-0"/>
            <w:rFonts w:ascii="Arial Narrow" w:eastAsia="Times New Roman" w:hAnsi="Arial Narrow" w:cstheme="majorHAnsi"/>
            <w:sz w:val="23"/>
            <w:szCs w:val="23"/>
            <w:lang w:val="el-GR" w:eastAsia="de-DE"/>
          </w:rPr>
          <w:t>στα άτομα ηλικίας 15-44 ετών και κατάσταση αναπηρίας (ΕΕΔ,2022)</w:t>
        </w:r>
        <w:r w:rsidRPr="00B44236">
          <w:rPr>
            <w:rFonts w:ascii="Arial Narrow" w:hAnsi="Arial Narrow"/>
            <w:sz w:val="23"/>
            <w:szCs w:val="23"/>
          </w:rPr>
          <w:tab/>
        </w:r>
        <w:r w:rsidRPr="00B44236">
          <w:rPr>
            <w:rFonts w:ascii="Arial Narrow" w:hAnsi="Arial Narrow"/>
            <w:sz w:val="23"/>
            <w:szCs w:val="23"/>
          </w:rPr>
          <w:fldChar w:fldCharType="begin"/>
        </w:r>
        <w:r w:rsidRPr="00B44236">
          <w:rPr>
            <w:rFonts w:ascii="Arial Narrow" w:hAnsi="Arial Narrow"/>
            <w:sz w:val="23"/>
            <w:szCs w:val="23"/>
          </w:rPr>
          <w:instrText xml:space="preserve"> PAGEREF _Toc145080452 \h </w:instrText>
        </w:r>
        <w:r w:rsidRPr="00B44236">
          <w:rPr>
            <w:rFonts w:ascii="Arial Narrow" w:hAnsi="Arial Narrow"/>
            <w:sz w:val="23"/>
            <w:szCs w:val="23"/>
          </w:rPr>
        </w:r>
        <w:r w:rsidRPr="00B44236">
          <w:rPr>
            <w:rFonts w:ascii="Arial Narrow" w:hAnsi="Arial Narrow"/>
            <w:sz w:val="23"/>
            <w:szCs w:val="23"/>
          </w:rPr>
          <w:fldChar w:fldCharType="separate"/>
        </w:r>
        <w:r w:rsidR="00436DBE">
          <w:rPr>
            <w:rFonts w:ascii="Arial Narrow" w:hAnsi="Arial Narrow"/>
            <w:noProof/>
            <w:sz w:val="23"/>
            <w:szCs w:val="23"/>
          </w:rPr>
          <w:t>20</w:t>
        </w:r>
        <w:r w:rsidRPr="00B44236">
          <w:rPr>
            <w:rFonts w:ascii="Arial Narrow" w:hAnsi="Arial Narrow"/>
            <w:sz w:val="23"/>
            <w:szCs w:val="23"/>
          </w:rPr>
          <w:fldChar w:fldCharType="end"/>
        </w:r>
      </w:hyperlink>
    </w:p>
    <w:p w14:paraId="71553760" w14:textId="720D6F5D" w:rsidR="007D51AE" w:rsidRPr="00B44236" w:rsidRDefault="00000000" w:rsidP="00B44236">
      <w:pPr>
        <w:pStyle w:val="af"/>
        <w:tabs>
          <w:tab w:val="right" w:leader="dot" w:pos="8777"/>
        </w:tabs>
        <w:spacing w:after="120"/>
        <w:rPr>
          <w:rFonts w:ascii="Arial Narrow" w:eastAsiaTheme="minorEastAsia" w:hAnsi="Arial Narrow"/>
          <w:kern w:val="2"/>
          <w:sz w:val="23"/>
          <w:szCs w:val="23"/>
          <w:lang w:val="el-GR" w:eastAsia="el-GR"/>
          <w14:ligatures w14:val="standardContextual"/>
        </w:rPr>
      </w:pPr>
      <w:hyperlink w:anchor="_Toc145080453" w:history="1">
        <w:r w:rsidRPr="00B44236">
          <w:rPr>
            <w:rStyle w:val="-0"/>
            <w:rFonts w:ascii="Arial Narrow" w:eastAsia="Times New Roman" w:hAnsi="Arial Narrow" w:cstheme="majorHAnsi"/>
            <w:sz w:val="23"/>
            <w:szCs w:val="23"/>
            <w:lang w:val="el-GR" w:eastAsia="de-DE"/>
          </w:rPr>
          <w:t>Γράφημα 10: Νέοι και ενήλικες 15-44 ετών: Δείκτες απασχόλησης και ανεργίας και κατάσταση αναπηρίας (ΕΕΔ,2022)</w:t>
        </w:r>
        <w:r w:rsidRPr="00B44236">
          <w:rPr>
            <w:rFonts w:ascii="Arial Narrow" w:hAnsi="Arial Narrow"/>
            <w:sz w:val="23"/>
            <w:szCs w:val="23"/>
          </w:rPr>
          <w:tab/>
        </w:r>
        <w:r w:rsidRPr="00B44236">
          <w:rPr>
            <w:rFonts w:ascii="Arial Narrow" w:hAnsi="Arial Narrow"/>
            <w:sz w:val="23"/>
            <w:szCs w:val="23"/>
          </w:rPr>
          <w:fldChar w:fldCharType="begin"/>
        </w:r>
        <w:r w:rsidRPr="00B44236">
          <w:rPr>
            <w:rFonts w:ascii="Arial Narrow" w:hAnsi="Arial Narrow"/>
            <w:sz w:val="23"/>
            <w:szCs w:val="23"/>
          </w:rPr>
          <w:instrText xml:space="preserve"> PAGEREF _Toc145080453 \h </w:instrText>
        </w:r>
        <w:r w:rsidRPr="00B44236">
          <w:rPr>
            <w:rFonts w:ascii="Arial Narrow" w:hAnsi="Arial Narrow"/>
            <w:sz w:val="23"/>
            <w:szCs w:val="23"/>
          </w:rPr>
        </w:r>
        <w:r w:rsidRPr="00B44236">
          <w:rPr>
            <w:rFonts w:ascii="Arial Narrow" w:hAnsi="Arial Narrow"/>
            <w:sz w:val="23"/>
            <w:szCs w:val="23"/>
          </w:rPr>
          <w:fldChar w:fldCharType="separate"/>
        </w:r>
        <w:r w:rsidR="00436DBE">
          <w:rPr>
            <w:rFonts w:ascii="Arial Narrow" w:hAnsi="Arial Narrow"/>
            <w:noProof/>
            <w:sz w:val="23"/>
            <w:szCs w:val="23"/>
          </w:rPr>
          <w:t>20</w:t>
        </w:r>
        <w:r w:rsidRPr="00B44236">
          <w:rPr>
            <w:rFonts w:ascii="Arial Narrow" w:hAnsi="Arial Narrow"/>
            <w:sz w:val="23"/>
            <w:szCs w:val="23"/>
          </w:rPr>
          <w:fldChar w:fldCharType="end"/>
        </w:r>
      </w:hyperlink>
    </w:p>
    <w:p w14:paraId="6D3A6485" w14:textId="37C485F9" w:rsidR="007D51AE" w:rsidRPr="00B44236" w:rsidRDefault="00000000" w:rsidP="00B44236">
      <w:pPr>
        <w:pStyle w:val="af"/>
        <w:tabs>
          <w:tab w:val="right" w:leader="dot" w:pos="8777"/>
        </w:tabs>
        <w:spacing w:after="120"/>
        <w:rPr>
          <w:rStyle w:val="-0"/>
          <w:rFonts w:ascii="Arial Narrow" w:hAnsi="Arial Narrow"/>
          <w:sz w:val="23"/>
          <w:szCs w:val="23"/>
        </w:rPr>
      </w:pPr>
      <w:hyperlink w:anchor="_Toc145080454" w:history="1">
        <w:r w:rsidRPr="00B44236">
          <w:rPr>
            <w:rStyle w:val="-0"/>
            <w:rFonts w:ascii="Arial Narrow" w:eastAsia="Times New Roman" w:hAnsi="Arial Narrow" w:cstheme="majorHAnsi"/>
            <w:sz w:val="23"/>
            <w:szCs w:val="23"/>
            <w:lang w:val="el-GR" w:eastAsia="de-DE"/>
          </w:rPr>
          <w:t xml:space="preserve">Γράφημα 11: Ποσοστό ανενεργού πληθυσμού (Εκτός εργατικού δυναμικού), εκτός εκπαίδευσης </w:t>
        </w:r>
        <w:r w:rsidR="00B44236">
          <w:rPr>
            <w:rStyle w:val="-0"/>
            <w:rFonts w:ascii="Arial Narrow" w:eastAsia="Times New Roman" w:hAnsi="Arial Narrow" w:cstheme="majorHAnsi"/>
            <w:sz w:val="23"/>
            <w:szCs w:val="23"/>
            <w:lang w:val="el-GR" w:eastAsia="de-DE"/>
          </w:rPr>
          <w:br/>
        </w:r>
        <w:r w:rsidRPr="00B44236">
          <w:rPr>
            <w:rStyle w:val="-0"/>
            <w:rFonts w:ascii="Arial Narrow" w:eastAsia="Times New Roman" w:hAnsi="Arial Narrow" w:cstheme="majorHAnsi"/>
            <w:sz w:val="23"/>
            <w:szCs w:val="23"/>
            <w:lang w:val="el-GR" w:eastAsia="de-DE"/>
          </w:rPr>
          <w:t>και κατάρτισης (τυπικής ή άτυπης) και κατάσταση αναπηρίας (ΕΕΔ,2022)</w:t>
        </w:r>
        <w:r w:rsidRPr="00B44236">
          <w:rPr>
            <w:rFonts w:ascii="Arial Narrow" w:hAnsi="Arial Narrow"/>
            <w:sz w:val="23"/>
            <w:szCs w:val="23"/>
          </w:rPr>
          <w:tab/>
        </w:r>
        <w:r w:rsidRPr="00B44236">
          <w:rPr>
            <w:rFonts w:ascii="Arial Narrow" w:hAnsi="Arial Narrow"/>
            <w:sz w:val="23"/>
            <w:szCs w:val="23"/>
          </w:rPr>
          <w:fldChar w:fldCharType="begin"/>
        </w:r>
        <w:r w:rsidRPr="00B44236">
          <w:rPr>
            <w:rFonts w:ascii="Arial Narrow" w:hAnsi="Arial Narrow"/>
            <w:sz w:val="23"/>
            <w:szCs w:val="23"/>
          </w:rPr>
          <w:instrText xml:space="preserve"> PAGEREF _Toc145080454 \h </w:instrText>
        </w:r>
        <w:r w:rsidRPr="00B44236">
          <w:rPr>
            <w:rFonts w:ascii="Arial Narrow" w:hAnsi="Arial Narrow"/>
            <w:sz w:val="23"/>
            <w:szCs w:val="23"/>
          </w:rPr>
        </w:r>
        <w:r w:rsidRPr="00B44236">
          <w:rPr>
            <w:rFonts w:ascii="Arial Narrow" w:hAnsi="Arial Narrow"/>
            <w:sz w:val="23"/>
            <w:szCs w:val="23"/>
          </w:rPr>
          <w:fldChar w:fldCharType="separate"/>
        </w:r>
        <w:r w:rsidR="00436DBE">
          <w:rPr>
            <w:rFonts w:ascii="Arial Narrow" w:hAnsi="Arial Narrow"/>
            <w:noProof/>
            <w:sz w:val="23"/>
            <w:szCs w:val="23"/>
          </w:rPr>
          <w:t>21</w:t>
        </w:r>
        <w:r w:rsidRPr="00B44236">
          <w:rPr>
            <w:rFonts w:ascii="Arial Narrow" w:hAnsi="Arial Narrow"/>
            <w:sz w:val="23"/>
            <w:szCs w:val="23"/>
          </w:rPr>
          <w:fldChar w:fldCharType="end"/>
        </w:r>
      </w:hyperlink>
    </w:p>
    <w:p w14:paraId="742F2BE3" w14:textId="77777777" w:rsidR="007D51AE" w:rsidRDefault="007D51AE"/>
    <w:p w14:paraId="29A1C8F0" w14:textId="1603A63E" w:rsidR="007D51AE" w:rsidRDefault="00000000" w:rsidP="00B44236">
      <w:pPr>
        <w:spacing w:after="80"/>
        <w:rPr>
          <w:highlight w:val="yellow"/>
        </w:rPr>
      </w:pPr>
      <w:r>
        <w:rPr>
          <w:rFonts w:cstheme="minorHAnsi"/>
          <w:bCs/>
          <w:highlight w:val="yellow"/>
          <w:lang w:val="el-GR"/>
        </w:rPr>
        <w:fldChar w:fldCharType="end"/>
      </w:r>
      <w:r>
        <w:rPr>
          <w:highlight w:val="yellow"/>
        </w:rPr>
        <w:fldChar w:fldCharType="begin"/>
      </w:r>
      <w:r>
        <w:rPr>
          <w:highlight w:val="yellow"/>
        </w:rPr>
        <w:instrText xml:space="preserve"> TOC \o "1-3" \h \z \u </w:instrText>
      </w:r>
      <w:r>
        <w:rPr>
          <w:highlight w:val="yellow"/>
        </w:rPr>
        <w:fldChar w:fldCharType="separate"/>
      </w:r>
    </w:p>
    <w:p w14:paraId="3EA66FF6" w14:textId="77777777" w:rsidR="007D51AE" w:rsidRDefault="00000000">
      <w:pPr>
        <w:shd w:val="clear" w:color="auto" w:fill="DEEAF6" w:themeFill="accent5" w:themeFillTint="33"/>
        <w:spacing w:before="1320"/>
        <w:jc w:val="center"/>
        <w:rPr>
          <w:rFonts w:cstheme="minorHAnsi"/>
          <w:b/>
          <w:u w:val="single"/>
          <w:lang w:val="el-GR"/>
        </w:rPr>
      </w:pPr>
      <w:r>
        <w:rPr>
          <w:rFonts w:cstheme="minorHAnsi"/>
          <w:b/>
          <w:u w:val="single"/>
          <w:lang w:val="el-GR"/>
        </w:rPr>
        <w:t>Επεξεργασία και ανάλυση δεδομένων</w:t>
      </w:r>
    </w:p>
    <w:p w14:paraId="122202DE" w14:textId="77777777" w:rsidR="007D51AE" w:rsidRDefault="00000000">
      <w:pPr>
        <w:shd w:val="clear" w:color="auto" w:fill="DEEAF6" w:themeFill="accent5" w:themeFillTint="33"/>
        <w:jc w:val="center"/>
        <w:rPr>
          <w:rFonts w:cstheme="minorHAnsi"/>
          <w:b/>
          <w:lang w:val="el-GR"/>
        </w:rPr>
      </w:pPr>
      <w:r>
        <w:rPr>
          <w:rFonts w:cstheme="minorHAnsi"/>
          <w:b/>
          <w:lang w:val="el-GR"/>
        </w:rPr>
        <w:t>Φανή Προβή, Ma Social Research</w:t>
      </w:r>
    </w:p>
    <w:p w14:paraId="3DD4B19A" w14:textId="77777777" w:rsidR="007D51AE" w:rsidRDefault="00000000">
      <w:pPr>
        <w:shd w:val="clear" w:color="auto" w:fill="DEEAF6" w:themeFill="accent5" w:themeFillTint="33"/>
        <w:spacing w:after="1200"/>
        <w:jc w:val="center"/>
        <w:rPr>
          <w:rFonts w:cstheme="minorHAnsi"/>
          <w:bCs/>
          <w:i/>
          <w:iCs/>
          <w:lang w:val="el-GR"/>
        </w:rPr>
      </w:pPr>
      <w:r>
        <w:rPr>
          <w:rFonts w:cstheme="minorHAnsi"/>
          <w:bCs/>
          <w:i/>
          <w:iCs/>
          <w:lang w:val="el-GR"/>
        </w:rPr>
        <w:t>Επιστημονική Υπεύθυνη Παρατηρητηρίου Θεμάτων Αναπηρίας</w:t>
      </w:r>
    </w:p>
    <w:p w14:paraId="23AE2834" w14:textId="77777777" w:rsidR="007D51AE" w:rsidRDefault="00000000">
      <w:pPr>
        <w:spacing w:before="960"/>
        <w:rPr>
          <w:sz w:val="20"/>
          <w:szCs w:val="20"/>
          <w:lang w:val="el-GR"/>
        </w:rPr>
      </w:pPr>
      <w:r>
        <w:rPr>
          <w:noProof/>
        </w:rPr>
        <w:drawing>
          <wp:anchor distT="0" distB="0" distL="114300" distR="114300" simplePos="0" relativeHeight="251659264" behindDoc="0" locked="0" layoutInCell="1" allowOverlap="1" wp14:anchorId="0D985655" wp14:editId="2C72CC2F">
            <wp:simplePos x="0" y="0"/>
            <wp:positionH relativeFrom="column">
              <wp:posOffset>766445</wp:posOffset>
            </wp:positionH>
            <wp:positionV relativeFrom="paragraph">
              <wp:posOffset>191770</wp:posOffset>
            </wp:positionV>
            <wp:extent cx="914400" cy="914400"/>
            <wp:effectExtent l="0" t="0" r="0" b="0"/>
            <wp:wrapSquare wrapText="bothSides"/>
            <wp:docPr id="916960574"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60574" name="Εικόνα 1">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14400" cy="914400"/>
                    </a:xfrm>
                    <a:prstGeom prst="rect">
                      <a:avLst/>
                    </a:prstGeom>
                    <a:noFill/>
                  </pic:spPr>
                </pic:pic>
              </a:graphicData>
            </a:graphic>
          </wp:anchor>
        </w:drawing>
      </w:r>
    </w:p>
    <w:p w14:paraId="6B4922C3" w14:textId="77777777" w:rsidR="007D51AE" w:rsidRDefault="00000000">
      <w:pPr>
        <w:pBdr>
          <w:top w:val="single" w:sz="4" w:space="1" w:color="auto"/>
        </w:pBdr>
        <w:ind w:left="2835" w:right="423"/>
        <w:rPr>
          <w:sz w:val="20"/>
          <w:szCs w:val="20"/>
          <w:lang w:val="el-GR"/>
        </w:rPr>
      </w:pPr>
      <w:r>
        <w:rPr>
          <w:b/>
          <w:sz w:val="20"/>
          <w:szCs w:val="20"/>
          <w:lang w:val="el-GR"/>
        </w:rPr>
        <w:t xml:space="preserve">Προσβάσιμο αρχείο </w:t>
      </w:r>
      <w:r>
        <w:rPr>
          <w:b/>
          <w:sz w:val="20"/>
          <w:szCs w:val="20"/>
          <w:lang w:val="en-GB"/>
        </w:rPr>
        <w:t>Microsoft</w:t>
      </w:r>
      <w:r>
        <w:rPr>
          <w:b/>
          <w:sz w:val="20"/>
          <w:szCs w:val="20"/>
          <w:lang w:val="el-GR"/>
        </w:rPr>
        <w:t xml:space="preserve"> </w:t>
      </w:r>
      <w:r>
        <w:rPr>
          <w:b/>
          <w:sz w:val="20"/>
          <w:szCs w:val="20"/>
          <w:lang w:val="en-GB"/>
        </w:rPr>
        <w:t>Word</w:t>
      </w:r>
      <w:r>
        <w:rPr>
          <w:b/>
          <w:sz w:val="20"/>
          <w:szCs w:val="20"/>
          <w:lang w:val="el-GR"/>
        </w:rPr>
        <w:t xml:space="preserve"> (*.</w:t>
      </w:r>
      <w:r>
        <w:rPr>
          <w:b/>
          <w:sz w:val="20"/>
          <w:szCs w:val="20"/>
          <w:lang w:val="en-GB"/>
        </w:rPr>
        <w:t>docx</w:t>
      </w:r>
      <w:r>
        <w:rPr>
          <w:b/>
          <w:sz w:val="20"/>
          <w:szCs w:val="20"/>
          <w:lang w:val="el-GR"/>
        </w:rPr>
        <w:t>)</w:t>
      </w:r>
    </w:p>
    <w:p w14:paraId="6FC784CE" w14:textId="77777777" w:rsidR="007D51AE" w:rsidRDefault="00000000">
      <w:pPr>
        <w:pBdr>
          <w:bottom w:val="single" w:sz="4" w:space="1" w:color="auto"/>
        </w:pBdr>
        <w:ind w:left="2835" w:right="423"/>
        <w:rPr>
          <w:rFonts w:cstheme="minorHAnsi"/>
          <w:b/>
          <w:lang w:val="el-GR"/>
        </w:rPr>
      </w:pPr>
      <w:r>
        <w:rPr>
          <w:sz w:val="20"/>
          <w:szCs w:val="20"/>
          <w:lang w:val="el-GR"/>
        </w:rPr>
        <w:t xml:space="preserve">Το παρόν αρχείο ελέγχθηκε με το εργαλείο </w:t>
      </w:r>
      <w:r>
        <w:rPr>
          <w:i/>
          <w:sz w:val="20"/>
          <w:szCs w:val="20"/>
          <w:lang w:val="en-GB"/>
        </w:rPr>
        <w:t>Microsoft</w:t>
      </w:r>
      <w:r>
        <w:rPr>
          <w:i/>
          <w:sz w:val="20"/>
          <w:szCs w:val="20"/>
          <w:lang w:val="el-GR"/>
        </w:rPr>
        <w:t xml:space="preserve"> </w:t>
      </w:r>
      <w:r>
        <w:rPr>
          <w:i/>
          <w:sz w:val="20"/>
          <w:szCs w:val="20"/>
          <w:lang w:val="en-GB"/>
        </w:rPr>
        <w:t>Accessibility</w:t>
      </w:r>
      <w:r>
        <w:rPr>
          <w:i/>
          <w:sz w:val="20"/>
          <w:szCs w:val="20"/>
          <w:lang w:val="el-GR"/>
        </w:rPr>
        <w:t xml:space="preserve"> </w:t>
      </w:r>
      <w:r>
        <w:rPr>
          <w:i/>
          <w:sz w:val="20"/>
          <w:szCs w:val="20"/>
          <w:lang w:val="en-GB"/>
        </w:rPr>
        <w:t>Checker</w:t>
      </w:r>
      <w:r>
        <w:rPr>
          <w:i/>
          <w:sz w:val="20"/>
          <w:szCs w:val="20"/>
          <w:lang w:val="el-GR"/>
        </w:rPr>
        <w:t xml:space="preserve"> </w:t>
      </w:r>
      <w:r>
        <w:rPr>
          <w:sz w:val="20"/>
          <w:szCs w:val="20"/>
          <w:lang w:val="el-GR"/>
        </w:rPr>
        <w:t>και δεν βρέθηκαν θέματα προσβασιμότητας. Τα άτομα με αναπηρία δεν θα αντιμετωπίζουν δυσκολίες στην ανάγνωσή του.</w:t>
      </w:r>
    </w:p>
    <w:p w14:paraId="543EB750" w14:textId="77777777" w:rsidR="007D51AE" w:rsidRDefault="00000000">
      <w:pPr>
        <w:rPr>
          <w:highlight w:val="yellow"/>
          <w:lang w:val="el-GR"/>
        </w:rPr>
      </w:pPr>
      <w:r>
        <w:rPr>
          <w:b/>
          <w:bCs/>
          <w:u w:val="single"/>
          <w:lang w:val="el-GR"/>
        </w:rPr>
        <w:br w:type="page"/>
      </w:r>
    </w:p>
    <w:p w14:paraId="050B683C" w14:textId="77777777" w:rsidR="007D51AE" w:rsidRDefault="00000000">
      <w:pPr>
        <w:pStyle w:val="af2"/>
        <w:ind w:left="0"/>
        <w:jc w:val="both"/>
        <w:rPr>
          <w:rStyle w:val="tlid-translation"/>
          <w:lang w:val="el-GR"/>
        </w:rPr>
      </w:pPr>
      <w:r>
        <w:rPr>
          <w:sz w:val="24"/>
          <w:szCs w:val="24"/>
          <w:highlight w:val="yellow"/>
          <w:lang w:val="el-GR"/>
        </w:rPr>
        <w:lastRenderedPageBreak/>
        <w:fldChar w:fldCharType="end"/>
      </w:r>
    </w:p>
    <w:p w14:paraId="21AA760E" w14:textId="77777777" w:rsidR="007D51AE" w:rsidRDefault="00000000">
      <w:pPr>
        <w:pStyle w:val="1"/>
        <w:numPr>
          <w:ilvl w:val="0"/>
          <w:numId w:val="0"/>
        </w:numPr>
        <w:spacing w:before="600" w:after="240"/>
        <w:jc w:val="center"/>
        <w:rPr>
          <w:b/>
          <w:bCs/>
          <w:color w:val="000000" w:themeColor="text1"/>
          <w:u w:val="single"/>
          <w:lang w:val="el-GR"/>
        </w:rPr>
      </w:pPr>
      <w:bookmarkStart w:id="0" w:name="_Toc145080419"/>
      <w:r>
        <w:rPr>
          <w:b/>
          <w:bCs/>
          <w:color w:val="000000" w:themeColor="text1"/>
          <w:u w:val="single"/>
          <w:lang w:val="el-GR"/>
        </w:rPr>
        <w:t>ΕΙΣΑΓΩΓΗ</w:t>
      </w:r>
      <w:bookmarkEnd w:id="0"/>
    </w:p>
    <w:p w14:paraId="237FA9AA" w14:textId="77777777" w:rsidR="007D51AE" w:rsidRDefault="00000000">
      <w:pPr>
        <w:jc w:val="both"/>
        <w:rPr>
          <w:sz w:val="24"/>
          <w:szCs w:val="24"/>
          <w:lang w:val="el-GR"/>
        </w:rPr>
      </w:pPr>
      <w:r>
        <w:rPr>
          <w:sz w:val="24"/>
          <w:szCs w:val="24"/>
          <w:lang w:val="el-GR"/>
        </w:rPr>
        <w:t>Σύμφωνα με το άρθρο 27 της Διεθνούς Σύμβασης για τα δικαιώματα των ατόμων με αναπηρία (2006), το αναφαίρετο δικαίωμα στην εργασία, συμπεριλαμβάνει μεταξύ άλλων, το δικαίωμα των ατόμων με αναπηρία στη δυνατότητα να ζουν από εργασία που επιλέγουν ελεύθερα ή είναι αποδεκτή σε μια αγορά εργασίας και σε ένα εργασιακό περιβάλλον που είναι ανοικτό, συμπεριληπτικό και προσβάσιμο στα άτομα με αναπηρία.</w:t>
      </w:r>
    </w:p>
    <w:p w14:paraId="739CA989" w14:textId="77777777" w:rsidR="007D51AE" w:rsidRDefault="00000000">
      <w:pPr>
        <w:jc w:val="both"/>
        <w:rPr>
          <w:sz w:val="24"/>
          <w:szCs w:val="24"/>
          <w:lang w:val="el-GR"/>
        </w:rPr>
      </w:pPr>
      <w:r>
        <w:rPr>
          <w:sz w:val="24"/>
          <w:szCs w:val="24"/>
          <w:lang w:val="el-GR"/>
        </w:rPr>
        <w:t xml:space="preserve">Το Παρατηρητήριο Θεμάτων Αναπηρίας της Ε.Σ.Α.μεΑ. αναγνωρίζοντας τη θεμελιώδη σημασία του δικαιώματος στην εργασία για την κοινωνική ένταξη και την εκπλήρωση άλλων ανθρωπίνων δικαιωμάτων, έχει θέσει ψηλά στην ερευνητική του ατζέντα τα ζητήματα της απασχόλησης. </w:t>
      </w:r>
    </w:p>
    <w:p w14:paraId="5C20D13F" w14:textId="3FCD2970" w:rsidR="007D51AE" w:rsidRDefault="00000000">
      <w:pPr>
        <w:jc w:val="both"/>
        <w:rPr>
          <w:sz w:val="24"/>
          <w:szCs w:val="24"/>
          <w:lang w:val="el-GR"/>
        </w:rPr>
      </w:pPr>
      <w:r>
        <w:rPr>
          <w:sz w:val="24"/>
          <w:szCs w:val="24"/>
          <w:lang w:val="el-GR"/>
        </w:rPr>
        <w:t>Στο παρόν, 14</w:t>
      </w:r>
      <w:r w:rsidRPr="00B44236">
        <w:rPr>
          <w:sz w:val="24"/>
          <w:szCs w:val="24"/>
          <w:vertAlign w:val="superscript"/>
          <w:lang w:val="el-GR"/>
        </w:rPr>
        <w:t>ο</w:t>
      </w:r>
      <w:r w:rsidR="00B44236" w:rsidRPr="00B44236">
        <w:rPr>
          <w:sz w:val="24"/>
          <w:szCs w:val="24"/>
          <w:lang w:val="el-GR"/>
        </w:rPr>
        <w:t xml:space="preserve"> </w:t>
      </w:r>
      <w:r>
        <w:rPr>
          <w:sz w:val="24"/>
          <w:szCs w:val="24"/>
          <w:lang w:val="el-GR"/>
        </w:rPr>
        <w:t>κατά σειρά δελτίο στατιστικής πληροφόρησης</w:t>
      </w:r>
      <w:r>
        <w:rPr>
          <w:vertAlign w:val="superscript"/>
        </w:rPr>
        <w:footnoteReference w:id="1"/>
      </w:r>
      <w:r>
        <w:rPr>
          <w:sz w:val="24"/>
          <w:szCs w:val="24"/>
          <w:lang w:val="el-GR"/>
        </w:rPr>
        <w:t xml:space="preserve">, αναλύονται και παρουσιάζονται βασικά μεγέθη και δείκτες σχετικά με την απασχόληση και την ένταξη στην εργασία των ατόμων με αναπηρία στην Ελλάδα. </w:t>
      </w:r>
    </w:p>
    <w:p w14:paraId="72084E0D" w14:textId="02E62F39" w:rsidR="007D51AE" w:rsidRDefault="00000000">
      <w:pPr>
        <w:jc w:val="both"/>
        <w:rPr>
          <w:sz w:val="24"/>
          <w:szCs w:val="24"/>
          <w:lang w:val="el-GR"/>
        </w:rPr>
      </w:pPr>
      <w:r>
        <w:rPr>
          <w:sz w:val="24"/>
          <w:szCs w:val="24"/>
          <w:lang w:val="el-GR"/>
        </w:rPr>
        <w:t>Πηγή των πρωτογενών στοιχείων που επεξεργάστηκε το Παρατηρητήριο και δημοσιεύονται σήμερα για πρώτα φορά στην Ελλάδα, αποτελεί το 1ο κύμα της Έρευνας Εργατικού Δυναμικού έτους 2022 της Ελληνικής Στατιστικής Αρχής,</w:t>
      </w:r>
      <w:r w:rsidR="00B44236">
        <w:rPr>
          <w:sz w:val="24"/>
          <w:szCs w:val="24"/>
          <w:lang w:val="el-GR"/>
        </w:rPr>
        <w:t xml:space="preserve"> </w:t>
      </w:r>
      <w:r>
        <w:rPr>
          <w:sz w:val="24"/>
          <w:szCs w:val="24"/>
          <w:lang w:val="el-GR"/>
        </w:rPr>
        <w:t xml:space="preserve">στο οποίο για πρώτη φορά μετά το 2011 συμπεριελήφθησαν ερωτήματα για την υγεία και την αναπηρία (Δείκτης </w:t>
      </w:r>
      <w:r>
        <w:rPr>
          <w:sz w:val="24"/>
          <w:szCs w:val="24"/>
        </w:rPr>
        <w:t>Gali</w:t>
      </w:r>
      <w:r>
        <w:rPr>
          <w:sz w:val="24"/>
          <w:szCs w:val="24"/>
          <w:lang w:val="el-GR"/>
        </w:rPr>
        <w:t>-</w:t>
      </w:r>
      <w:r>
        <w:rPr>
          <w:sz w:val="24"/>
          <w:szCs w:val="24"/>
        </w:rPr>
        <w:t>Routed</w:t>
      </w:r>
      <w:r>
        <w:rPr>
          <w:sz w:val="24"/>
          <w:szCs w:val="24"/>
          <w:lang w:val="el-GR"/>
        </w:rPr>
        <w:t xml:space="preserve"> </w:t>
      </w:r>
      <w:r>
        <w:rPr>
          <w:sz w:val="24"/>
          <w:szCs w:val="24"/>
        </w:rPr>
        <w:t>Version</w:t>
      </w:r>
      <w:r>
        <w:rPr>
          <w:sz w:val="24"/>
          <w:szCs w:val="24"/>
          <w:lang w:val="el-GR"/>
        </w:rPr>
        <w:t>).</w:t>
      </w:r>
    </w:p>
    <w:p w14:paraId="43A745B4" w14:textId="77777777" w:rsidR="007D51AE" w:rsidRDefault="00000000">
      <w:pPr>
        <w:jc w:val="both"/>
        <w:rPr>
          <w:sz w:val="24"/>
          <w:szCs w:val="24"/>
          <w:lang w:val="el-GR"/>
        </w:rPr>
      </w:pPr>
      <w:r>
        <w:rPr>
          <w:sz w:val="24"/>
          <w:szCs w:val="24"/>
          <w:lang w:val="el-GR"/>
        </w:rPr>
        <w:t>Τα δεδομένα σκιαγραφούν μια ιδιαίτερα ανησυχητική κατάσταση στον τομέα της απασχόλησης η οποία απέχει δραματικά από την εκπλήρωση των απαιτήσεων της Σύμβασης των ΗΕ αναφορικά με τα εργασιακά δικαιώματα των ατόμων με αναπηρία. Ειδικότερα, το πεδίο της εργασίας εξακολουθεί να αποτελεί για τα άτομα με αναπηρία πεδίο απροσπέλαστο, πεδίο σημαντικών φραγμών και διακρίσεων που παρεμποδίζουν σοβαρά την άσκηση του δικαιώματος στη εργασία σε ίση βάση με τους άλλους.</w:t>
      </w:r>
    </w:p>
    <w:p w14:paraId="0329E356" w14:textId="77777777" w:rsidR="007D51AE" w:rsidRDefault="00000000">
      <w:pPr>
        <w:jc w:val="both"/>
        <w:rPr>
          <w:sz w:val="24"/>
          <w:szCs w:val="24"/>
          <w:lang w:val="el-GR"/>
        </w:rPr>
      </w:pPr>
      <w:r>
        <w:rPr>
          <w:sz w:val="24"/>
          <w:szCs w:val="24"/>
          <w:lang w:val="el-GR"/>
        </w:rPr>
        <w:t>Η ανάλυση που παρουσιάζεται επικεντρώνεται σε 2 ηλικιακές ομάδες. Την πρώτη ομάδα συγκροτούν οι κατεξοχήν παραγωγικές ηλικίες από 20 έως 64 ετών, ενώ η δεύτερη ηλικιακή κατηγορία εκτείνεται στο εύρος από 15 έως 44 ετών, περιλαμβάνοντας δηλαδή στους νέους και τα άτομα στην πρώιμη φάση της ενήλικης ζωής.</w:t>
      </w:r>
    </w:p>
    <w:p w14:paraId="7902FEA7" w14:textId="77777777" w:rsidR="007D51AE" w:rsidRDefault="007D51AE">
      <w:pPr>
        <w:rPr>
          <w:lang w:val="el-GR"/>
        </w:rPr>
      </w:pPr>
    </w:p>
    <w:p w14:paraId="02F05784" w14:textId="77777777" w:rsidR="007D51AE" w:rsidRDefault="00000000">
      <w:pPr>
        <w:pStyle w:val="1"/>
        <w:numPr>
          <w:ilvl w:val="0"/>
          <w:numId w:val="0"/>
        </w:numPr>
        <w:spacing w:before="600" w:after="240"/>
        <w:jc w:val="center"/>
        <w:rPr>
          <w:b/>
          <w:bCs/>
          <w:color w:val="000000" w:themeColor="text1"/>
          <w:u w:val="single"/>
          <w:lang w:val="el-GR"/>
        </w:rPr>
      </w:pPr>
      <w:bookmarkStart w:id="1" w:name="_Toc145080420"/>
      <w:r>
        <w:rPr>
          <w:b/>
          <w:bCs/>
          <w:color w:val="000000" w:themeColor="text1"/>
          <w:u w:val="single"/>
          <w:lang w:val="el-GR"/>
        </w:rPr>
        <w:lastRenderedPageBreak/>
        <w:t>ΒΑΣΙΚΑ ΕΥΡΥΜΑΤΑ</w:t>
      </w:r>
      <w:bookmarkEnd w:id="1"/>
    </w:p>
    <w:p w14:paraId="595A1D52" w14:textId="77777777" w:rsidR="007D51AE" w:rsidRDefault="00000000">
      <w:pPr>
        <w:jc w:val="both"/>
        <w:rPr>
          <w:sz w:val="24"/>
          <w:szCs w:val="24"/>
          <w:lang w:val="el-GR"/>
        </w:rPr>
      </w:pPr>
      <w:r>
        <w:rPr>
          <w:sz w:val="24"/>
          <w:szCs w:val="24"/>
          <w:lang w:val="el-GR"/>
        </w:rPr>
        <w:t>Σύμφωνα με τα στοιχεία που συλλέχθηκαν στο πλαίσιο του 1</w:t>
      </w:r>
      <w:r>
        <w:rPr>
          <w:sz w:val="24"/>
          <w:szCs w:val="24"/>
          <w:vertAlign w:val="superscript"/>
          <w:lang w:val="el-GR"/>
        </w:rPr>
        <w:t>ου</w:t>
      </w:r>
      <w:r>
        <w:rPr>
          <w:sz w:val="24"/>
          <w:szCs w:val="24"/>
          <w:lang w:val="el-GR"/>
        </w:rPr>
        <w:t xml:space="preserve"> κύματος της Έρευνας Εργατικού Δυναμικού -έτους 2022, ο πληθυσμός των ατόμων με αναπηρία 15 ετών και άνω εκτιμάται στο </w:t>
      </w:r>
      <w:r>
        <w:rPr>
          <w:b/>
          <w:bCs/>
          <w:sz w:val="24"/>
          <w:szCs w:val="24"/>
          <w:lang w:val="el-GR"/>
        </w:rPr>
        <w:t>10% του πληθυσμού</w:t>
      </w:r>
      <w:r>
        <w:rPr>
          <w:sz w:val="24"/>
          <w:szCs w:val="24"/>
          <w:lang w:val="el-GR"/>
        </w:rPr>
        <w:t xml:space="preserve">. Σε απόλυτους αριθμούς τα άτομα με αναπηρία, με βάση την έρευνα αναφοράς και την επεξεργασία του Παρατηρητηρίου Θεμάτων Αναπηρίας, </w:t>
      </w:r>
      <w:r>
        <w:rPr>
          <w:b/>
          <w:bCs/>
          <w:sz w:val="24"/>
          <w:szCs w:val="24"/>
          <w:lang w:val="el-GR"/>
        </w:rPr>
        <w:t>εκτιμήθηκαν σε 1.054.735</w:t>
      </w:r>
      <w:r>
        <w:rPr>
          <w:rStyle w:val="a9"/>
          <w:b/>
          <w:bCs/>
          <w:sz w:val="24"/>
          <w:szCs w:val="24"/>
        </w:rPr>
        <w:footnoteReference w:id="2"/>
      </w:r>
      <w:r>
        <w:rPr>
          <w:sz w:val="24"/>
          <w:szCs w:val="24"/>
          <w:lang w:val="el-GR"/>
        </w:rPr>
        <w:t xml:space="preserve">. </w:t>
      </w:r>
    </w:p>
    <w:p w14:paraId="7123BFBC" w14:textId="77777777" w:rsidR="007D51AE" w:rsidRDefault="007D51AE">
      <w:pPr>
        <w:jc w:val="both"/>
        <w:rPr>
          <w:b/>
          <w:bCs/>
          <w:sz w:val="24"/>
          <w:szCs w:val="24"/>
          <w:u w:val="single"/>
          <w:lang w:val="el-GR"/>
        </w:rPr>
      </w:pPr>
    </w:p>
    <w:p w14:paraId="037F8430" w14:textId="77777777" w:rsidR="007D51AE" w:rsidRPr="00B44236" w:rsidRDefault="00000000">
      <w:pPr>
        <w:jc w:val="both"/>
        <w:rPr>
          <w:b/>
          <w:bCs/>
          <w:sz w:val="24"/>
          <w:szCs w:val="24"/>
          <w:u w:val="single"/>
          <w:lang w:val="el-GR"/>
        </w:rPr>
      </w:pPr>
      <w:r w:rsidRPr="00B44236">
        <w:rPr>
          <w:b/>
          <w:bCs/>
          <w:sz w:val="24"/>
          <w:szCs w:val="24"/>
          <w:u w:val="single"/>
          <w:lang w:val="el-GR"/>
        </w:rPr>
        <w:t>Οι παραγωγικές ηλικίες 20-64 ετών:</w:t>
      </w:r>
    </w:p>
    <w:p w14:paraId="4DFEE6B3" w14:textId="77777777" w:rsidR="007D51AE" w:rsidRDefault="00000000" w:rsidP="00B44236">
      <w:pPr>
        <w:pStyle w:val="af2"/>
        <w:numPr>
          <w:ilvl w:val="0"/>
          <w:numId w:val="2"/>
        </w:numPr>
        <w:spacing w:after="120"/>
        <w:ind w:left="714" w:hanging="357"/>
        <w:contextualSpacing w:val="0"/>
        <w:jc w:val="both"/>
        <w:rPr>
          <w:sz w:val="24"/>
          <w:szCs w:val="24"/>
          <w:lang w:val="el-GR"/>
        </w:rPr>
      </w:pPr>
      <w:r>
        <w:rPr>
          <w:sz w:val="24"/>
          <w:szCs w:val="24"/>
          <w:lang w:val="el-GR"/>
        </w:rPr>
        <w:t>Το</w:t>
      </w:r>
      <w:r>
        <w:rPr>
          <w:b/>
          <w:bCs/>
          <w:sz w:val="24"/>
          <w:szCs w:val="24"/>
          <w:lang w:val="el-GR"/>
        </w:rPr>
        <w:t xml:space="preserve"> ποσοστό των ατόμων με αναπηρία 20-64 ετών που μετέχουν στον ενεργό πληθυσμό (εργατικό δυναμικό) βρέθηκε να είναι στο ιδιαίτερα χαμηλό ποσοστό του 23,7%.</w:t>
      </w:r>
    </w:p>
    <w:p w14:paraId="46E542E2" w14:textId="633EF4CC" w:rsidR="007D51AE" w:rsidRDefault="00000000" w:rsidP="00B44236">
      <w:pPr>
        <w:pStyle w:val="af2"/>
        <w:numPr>
          <w:ilvl w:val="0"/>
          <w:numId w:val="2"/>
        </w:numPr>
        <w:spacing w:after="120"/>
        <w:ind w:left="714" w:hanging="357"/>
        <w:contextualSpacing w:val="0"/>
        <w:jc w:val="both"/>
        <w:rPr>
          <w:rFonts w:cstheme="minorHAnsi"/>
          <w:color w:val="000000"/>
          <w:sz w:val="24"/>
          <w:szCs w:val="24"/>
          <w:lang w:val="el-GR"/>
        </w:rPr>
      </w:pPr>
      <w:r>
        <w:rPr>
          <w:rFonts w:cstheme="minorHAnsi"/>
          <w:b/>
          <w:bCs/>
          <w:color w:val="000000"/>
          <w:sz w:val="24"/>
          <w:szCs w:val="24"/>
          <w:lang w:val="el-GR"/>
        </w:rPr>
        <w:t>Το ποσοστό των απασχολούμενων</w:t>
      </w:r>
      <w:r>
        <w:rPr>
          <w:rFonts w:cstheme="minorHAnsi"/>
          <w:color w:val="000000"/>
          <w:sz w:val="24"/>
          <w:szCs w:val="24"/>
          <w:lang w:val="el-GR"/>
        </w:rPr>
        <w:t xml:space="preserve"> ατόμων με σοβαρή αναπηρία 20-64 ετών </w:t>
      </w:r>
      <w:r>
        <w:rPr>
          <w:rFonts w:cstheme="minorHAnsi"/>
          <w:b/>
          <w:bCs/>
          <w:color w:val="000000"/>
          <w:sz w:val="24"/>
          <w:szCs w:val="24"/>
          <w:lang w:val="el-GR"/>
        </w:rPr>
        <w:t>ανέρχεται μόλις στο 18,4%</w:t>
      </w:r>
      <w:r>
        <w:rPr>
          <w:rFonts w:cstheme="minorHAnsi"/>
          <w:color w:val="000000"/>
          <w:sz w:val="24"/>
          <w:szCs w:val="24"/>
          <w:lang w:val="el-GR"/>
        </w:rPr>
        <w:t xml:space="preserve"> (41. 909 άτομα), με το </w:t>
      </w:r>
      <w:r>
        <w:rPr>
          <w:rFonts w:cstheme="minorHAnsi"/>
          <w:b/>
          <w:bCs/>
          <w:color w:val="000000"/>
          <w:sz w:val="24"/>
          <w:szCs w:val="24"/>
          <w:lang w:val="el-GR"/>
        </w:rPr>
        <w:t>χάσμα απασχόλησης</w:t>
      </w:r>
      <w:r>
        <w:rPr>
          <w:rFonts w:cstheme="minorHAnsi"/>
          <w:color w:val="000000"/>
          <w:sz w:val="24"/>
          <w:szCs w:val="24"/>
          <w:lang w:val="el-GR"/>
        </w:rPr>
        <w:t xml:space="preserve"> των ατόμων με αναπηρία, δηλαδή η διαφορά στα επίπεδα απασχόλησης σε σύγκριση με τον πληθυσμό χωρίς αναπηρία,</w:t>
      </w:r>
      <w:r w:rsidR="00B44236">
        <w:rPr>
          <w:rFonts w:cstheme="minorHAnsi"/>
          <w:color w:val="000000"/>
          <w:sz w:val="24"/>
          <w:szCs w:val="24"/>
          <w:lang w:val="el-GR"/>
        </w:rPr>
        <w:t xml:space="preserve"> </w:t>
      </w:r>
      <w:r>
        <w:rPr>
          <w:rFonts w:cstheme="minorHAnsi"/>
          <w:color w:val="000000"/>
          <w:sz w:val="24"/>
          <w:szCs w:val="24"/>
          <w:lang w:val="el-GR"/>
        </w:rPr>
        <w:t>να υπολογίζεται στις</w:t>
      </w:r>
      <w:r>
        <w:rPr>
          <w:rFonts w:cstheme="minorHAnsi"/>
          <w:b/>
          <w:bCs/>
          <w:color w:val="000000"/>
          <w:sz w:val="24"/>
          <w:szCs w:val="24"/>
          <w:lang w:val="el-GR"/>
        </w:rPr>
        <w:t xml:space="preserve"> 50 μονάδες</w:t>
      </w:r>
      <w:r>
        <w:rPr>
          <w:rFonts w:cstheme="minorHAnsi"/>
          <w:color w:val="000000"/>
          <w:sz w:val="24"/>
          <w:szCs w:val="24"/>
          <w:lang w:val="el-GR"/>
        </w:rPr>
        <w:t xml:space="preserve">. </w:t>
      </w:r>
    </w:p>
    <w:p w14:paraId="6443BA7B" w14:textId="77777777" w:rsidR="007D51AE" w:rsidRDefault="00000000" w:rsidP="00B44236">
      <w:pPr>
        <w:pStyle w:val="af2"/>
        <w:numPr>
          <w:ilvl w:val="0"/>
          <w:numId w:val="2"/>
        </w:numPr>
        <w:spacing w:after="120"/>
        <w:ind w:left="714" w:hanging="357"/>
        <w:contextualSpacing w:val="0"/>
        <w:jc w:val="both"/>
        <w:rPr>
          <w:sz w:val="24"/>
          <w:szCs w:val="24"/>
          <w:lang w:val="el-GR"/>
        </w:rPr>
      </w:pPr>
      <w:r>
        <w:rPr>
          <w:sz w:val="24"/>
          <w:szCs w:val="24"/>
          <w:lang w:val="el-GR"/>
        </w:rPr>
        <w:t xml:space="preserve">Στο σύνολο των ανέργων με αναπηρία (20-64 ετών), </w:t>
      </w:r>
      <w:r>
        <w:rPr>
          <w:b/>
          <w:bCs/>
          <w:sz w:val="24"/>
          <w:szCs w:val="24"/>
          <w:lang w:val="el-GR"/>
        </w:rPr>
        <w:t>το 65% αντιμετωπίζουν μακροχρόνια ανεργία</w:t>
      </w:r>
      <w:r>
        <w:rPr>
          <w:sz w:val="24"/>
          <w:szCs w:val="24"/>
          <w:lang w:val="el-GR"/>
        </w:rPr>
        <w:t>, δηλαδή ανεργία που διαρκεί 12 μήνες ή και περισσότερο.</w:t>
      </w:r>
    </w:p>
    <w:p w14:paraId="1555ED7B" w14:textId="77777777" w:rsidR="007D51AE" w:rsidRDefault="00000000" w:rsidP="00B44236">
      <w:pPr>
        <w:pStyle w:val="af2"/>
        <w:numPr>
          <w:ilvl w:val="0"/>
          <w:numId w:val="2"/>
        </w:numPr>
        <w:spacing w:after="120"/>
        <w:ind w:left="714" w:hanging="357"/>
        <w:contextualSpacing w:val="0"/>
        <w:jc w:val="both"/>
        <w:rPr>
          <w:sz w:val="24"/>
          <w:szCs w:val="24"/>
          <w:lang w:val="el-GR" w:eastAsia="de-DE"/>
        </w:rPr>
      </w:pPr>
      <w:r>
        <w:rPr>
          <w:b/>
          <w:bCs/>
          <w:sz w:val="24"/>
          <w:szCs w:val="24"/>
          <w:lang w:val="el-GR" w:eastAsia="de-DE"/>
        </w:rPr>
        <w:t>Σχεδόν 5 στα 10 άτομα με αναπηρία έχουν ανώτερο εκπαιδευτικό επίπεδο μέχρι την κατώτερη δευτεροβάθμια εκπαίδευση</w:t>
      </w:r>
      <w:r>
        <w:rPr>
          <w:sz w:val="24"/>
          <w:szCs w:val="24"/>
          <w:lang w:val="el-GR" w:eastAsia="de-DE"/>
        </w:rPr>
        <w:t xml:space="preserve"> (Γυμνάσιο), ενώ το 1/3 των ατόμων με αναπηρία έχουν ολοκληρώσει μόνο το δημοτικό ή έχουν παρακολουθήσει λίγες τάξεις του δημοτικού. </w:t>
      </w:r>
    </w:p>
    <w:p w14:paraId="1C8457A2" w14:textId="77777777" w:rsidR="007D51AE" w:rsidRDefault="00000000" w:rsidP="00B44236">
      <w:pPr>
        <w:pStyle w:val="af2"/>
        <w:numPr>
          <w:ilvl w:val="0"/>
          <w:numId w:val="2"/>
        </w:numPr>
        <w:spacing w:after="120"/>
        <w:ind w:left="714" w:hanging="357"/>
        <w:contextualSpacing w:val="0"/>
        <w:jc w:val="both"/>
        <w:rPr>
          <w:sz w:val="24"/>
          <w:szCs w:val="24"/>
          <w:lang w:val="el-GR" w:eastAsia="de-DE"/>
        </w:rPr>
      </w:pPr>
      <w:r>
        <w:rPr>
          <w:b/>
          <w:bCs/>
          <w:sz w:val="24"/>
          <w:szCs w:val="24"/>
          <w:lang w:val="el-GR" w:eastAsia="de-DE"/>
        </w:rPr>
        <w:t>Το εκπαιδευτικό επίπεδο βρέθηκε να είναι ακόμα χαμηλότερο στα άτομα με αναπηρία που δεν εντάσσονται στο εργατικό δυναμικό</w:t>
      </w:r>
      <w:r>
        <w:rPr>
          <w:sz w:val="24"/>
          <w:szCs w:val="24"/>
          <w:lang w:val="el-GR" w:eastAsia="de-DE"/>
        </w:rPr>
        <w:t xml:space="preserve"> (ούτε εργάζονται/ούτε αναζητούν εργασία), σε σύγκριση με τον ενεργό πληθυσμό με αναπηρία. </w:t>
      </w:r>
    </w:p>
    <w:p w14:paraId="1C22B46D" w14:textId="77777777" w:rsidR="007D51AE" w:rsidRDefault="00000000" w:rsidP="00B44236">
      <w:pPr>
        <w:pStyle w:val="af2"/>
        <w:numPr>
          <w:ilvl w:val="0"/>
          <w:numId w:val="2"/>
        </w:numPr>
        <w:spacing w:after="120"/>
        <w:ind w:left="714" w:hanging="357"/>
        <w:contextualSpacing w:val="0"/>
        <w:jc w:val="both"/>
        <w:rPr>
          <w:b/>
          <w:bCs/>
          <w:sz w:val="24"/>
          <w:szCs w:val="24"/>
          <w:lang w:val="el-GR" w:eastAsia="de-DE"/>
        </w:rPr>
      </w:pPr>
      <w:r>
        <w:rPr>
          <w:b/>
          <w:bCs/>
          <w:sz w:val="24"/>
          <w:szCs w:val="24"/>
          <w:lang w:val="el-GR" w:eastAsia="de-DE"/>
        </w:rPr>
        <w:t>Ενδιαφέρον εύρημα αποτελεί η διαφοροποίηση των εκπαιδευτικών επιπέδων μεταξύ των απασχολούμενων και των ανέργων</w:t>
      </w:r>
      <w:r>
        <w:rPr>
          <w:sz w:val="24"/>
          <w:szCs w:val="24"/>
          <w:lang w:val="el-GR" w:eastAsia="de-DE"/>
        </w:rPr>
        <w:t xml:space="preserve"> με αναπηρία, με τους άνεργους όχι μόνο να μην εμφανίζουν χαμηλότερο συγκριτικά εκπαιδευτικό επίπεδο, αλλά να έχουν μεγαλύτερα ποσοστά συμμετοχή στις υψηλότερες εκπαιδευτικές βαθμίδες. </w:t>
      </w:r>
      <w:r>
        <w:rPr>
          <w:b/>
          <w:bCs/>
          <w:sz w:val="24"/>
          <w:szCs w:val="24"/>
          <w:lang w:val="el-GR" w:eastAsia="de-DE"/>
        </w:rPr>
        <w:t xml:space="preserve">Ειδικότερα το 9% των ανέργων κατέχουν μεταπτυχιακό/ τίτλο ή </w:t>
      </w:r>
      <w:r>
        <w:rPr>
          <w:b/>
          <w:bCs/>
          <w:sz w:val="24"/>
          <w:szCs w:val="24"/>
          <w:lang w:val="el-GR" w:eastAsia="de-DE"/>
        </w:rPr>
        <w:lastRenderedPageBreak/>
        <w:t>διδακτορικό, όταν το αντίστοιχο ποσοστό στους απασχολούμενους με αναπηρία ανέρχεται σε 2%.</w:t>
      </w:r>
    </w:p>
    <w:p w14:paraId="7A707384" w14:textId="77777777" w:rsidR="007D51AE" w:rsidRDefault="00000000" w:rsidP="00B44236">
      <w:pPr>
        <w:pStyle w:val="af2"/>
        <w:numPr>
          <w:ilvl w:val="0"/>
          <w:numId w:val="2"/>
        </w:numPr>
        <w:spacing w:after="120"/>
        <w:ind w:left="714" w:hanging="357"/>
        <w:contextualSpacing w:val="0"/>
        <w:jc w:val="both"/>
        <w:rPr>
          <w:sz w:val="24"/>
          <w:szCs w:val="24"/>
          <w:lang w:val="el-GR" w:eastAsia="de-DE"/>
        </w:rPr>
      </w:pPr>
      <w:r>
        <w:rPr>
          <w:sz w:val="24"/>
          <w:szCs w:val="24"/>
          <w:lang w:val="el-GR" w:eastAsia="de-DE"/>
        </w:rPr>
        <w:t>Σε σύγκριση με τα άτομα χωρίς αναπηρία, τα άτομα με αναπηρία εμφανίζουν μεγαλύτερη συμμετοχή στους κλάδους της «Γεωργίας, δασοκομίας, αλιείας», στις «κατασκευές» και στις «διοικητικές και υποστηρικτικές δραστηριότητες». Αντίθετα, παρουσιάζουν μικρότερη συγκριτικά συμμετοχή στις «επαγγελματικές, επιστημονικές και τεχνικές δραστηριότητες» και στην «Εκπαίδευση».</w:t>
      </w:r>
    </w:p>
    <w:p w14:paraId="470C7874" w14:textId="77777777" w:rsidR="007D51AE" w:rsidRDefault="00000000" w:rsidP="00B44236">
      <w:pPr>
        <w:pStyle w:val="af2"/>
        <w:numPr>
          <w:ilvl w:val="0"/>
          <w:numId w:val="2"/>
        </w:numPr>
        <w:spacing w:after="120"/>
        <w:ind w:left="714" w:hanging="357"/>
        <w:contextualSpacing w:val="0"/>
        <w:jc w:val="both"/>
        <w:rPr>
          <w:sz w:val="24"/>
          <w:szCs w:val="24"/>
          <w:lang w:val="el-GR"/>
        </w:rPr>
      </w:pPr>
      <w:r>
        <w:rPr>
          <w:b/>
          <w:bCs/>
          <w:sz w:val="24"/>
          <w:szCs w:val="24"/>
          <w:lang w:val="el-GR"/>
        </w:rPr>
        <w:t>Το 57% των απασχολούμενων ατόμων με αναπηρία, βρήκαν εργασία μέσω φίλων, συγγενών ή γνωστών</w:t>
      </w:r>
      <w:r>
        <w:rPr>
          <w:sz w:val="24"/>
          <w:szCs w:val="24"/>
          <w:lang w:val="el-GR"/>
        </w:rPr>
        <w:t>, έναντι αντίστοιχου ποσοστού 38% των ατόμων χωρίς αναπηρία.</w:t>
      </w:r>
    </w:p>
    <w:p w14:paraId="4475CA64" w14:textId="77777777" w:rsidR="007D51AE" w:rsidRDefault="00000000" w:rsidP="00B44236">
      <w:pPr>
        <w:pStyle w:val="af2"/>
        <w:numPr>
          <w:ilvl w:val="0"/>
          <w:numId w:val="2"/>
        </w:numPr>
        <w:spacing w:after="120"/>
        <w:ind w:left="714" w:hanging="357"/>
        <w:contextualSpacing w:val="0"/>
        <w:jc w:val="both"/>
        <w:rPr>
          <w:sz w:val="24"/>
          <w:szCs w:val="24"/>
          <w:lang w:val="el-GR"/>
        </w:rPr>
      </w:pPr>
      <w:r>
        <w:rPr>
          <w:b/>
          <w:bCs/>
          <w:sz w:val="24"/>
          <w:szCs w:val="24"/>
          <w:lang w:val="el-GR"/>
        </w:rPr>
        <w:t>Ιδιαίτερα χαμηλό είναι το ποσοστό των ατόμων με αναπηρία που βρήκε εργασία μέσω του ΟΑΕΔ καθώς και όσων απευθύνθηκαν σε εργοδότες</w:t>
      </w:r>
      <w:r>
        <w:rPr>
          <w:sz w:val="24"/>
          <w:szCs w:val="24"/>
          <w:lang w:val="el-GR"/>
        </w:rPr>
        <w:t xml:space="preserve">. Το ποσοστό των ατόμων με αναπηρία που αναφέρει την απάντηση σε αγγελία ως επιτυχή τρόπο εύρεσης εργασίας είναι σχεδόν μηδενικό. </w:t>
      </w:r>
    </w:p>
    <w:p w14:paraId="75E22668" w14:textId="77777777" w:rsidR="007D51AE" w:rsidRDefault="007D51AE">
      <w:pPr>
        <w:ind w:left="360"/>
        <w:jc w:val="both"/>
        <w:rPr>
          <w:b/>
          <w:bCs/>
          <w:sz w:val="24"/>
          <w:szCs w:val="24"/>
          <w:u w:val="single"/>
          <w:lang w:val="el-GR"/>
        </w:rPr>
      </w:pPr>
      <w:bookmarkStart w:id="2" w:name="_Hlk145071576"/>
    </w:p>
    <w:p w14:paraId="7FE859F1" w14:textId="77777777" w:rsidR="007D51AE" w:rsidRDefault="00000000">
      <w:pPr>
        <w:ind w:left="360"/>
        <w:jc w:val="both"/>
        <w:rPr>
          <w:b/>
          <w:bCs/>
          <w:highlight w:val="yellow"/>
          <w:u w:val="single"/>
          <w:lang w:val="el-GR"/>
        </w:rPr>
      </w:pPr>
      <w:r>
        <w:rPr>
          <w:b/>
          <w:bCs/>
          <w:sz w:val="24"/>
          <w:szCs w:val="24"/>
          <w:u w:val="single"/>
          <w:lang w:val="el-GR"/>
        </w:rPr>
        <w:t>Οι Νέοι και τα άτομα με αναπηρία στην πρώιμη ενήλικη ζωή τους (15-44 ετών):</w:t>
      </w:r>
    </w:p>
    <w:bookmarkEnd w:id="2"/>
    <w:p w14:paraId="0FCF5DA0" w14:textId="77777777" w:rsidR="007D51AE" w:rsidRDefault="00000000" w:rsidP="00B44236">
      <w:pPr>
        <w:pStyle w:val="af2"/>
        <w:numPr>
          <w:ilvl w:val="0"/>
          <w:numId w:val="2"/>
        </w:numPr>
        <w:spacing w:after="120"/>
        <w:ind w:left="714" w:hanging="357"/>
        <w:contextualSpacing w:val="0"/>
        <w:jc w:val="both"/>
        <w:rPr>
          <w:sz w:val="24"/>
          <w:szCs w:val="24"/>
          <w:lang w:val="el-GR"/>
        </w:rPr>
      </w:pPr>
      <w:r>
        <w:rPr>
          <w:b/>
          <w:bCs/>
          <w:sz w:val="24"/>
          <w:szCs w:val="24"/>
          <w:lang w:val="el-GR"/>
        </w:rPr>
        <w:t>Ο δείκτης συμμετοχής στο εργατικό δυναμικό</w:t>
      </w:r>
      <w:r>
        <w:rPr>
          <w:sz w:val="24"/>
          <w:szCs w:val="24"/>
          <w:lang w:val="el-GR"/>
        </w:rPr>
        <w:t xml:space="preserve"> στους νέους και ενήλικες έως 44 ετών βρίσκεται στο </w:t>
      </w:r>
      <w:r>
        <w:rPr>
          <w:b/>
          <w:bCs/>
          <w:sz w:val="24"/>
          <w:szCs w:val="24"/>
          <w:lang w:val="el-GR"/>
        </w:rPr>
        <w:t>χαμηλό επίπεδο του 16%.</w:t>
      </w:r>
    </w:p>
    <w:p w14:paraId="21478C55" w14:textId="77777777" w:rsidR="007D51AE" w:rsidRDefault="00000000" w:rsidP="00B44236">
      <w:pPr>
        <w:pStyle w:val="af2"/>
        <w:numPr>
          <w:ilvl w:val="0"/>
          <w:numId w:val="2"/>
        </w:numPr>
        <w:spacing w:after="120"/>
        <w:ind w:left="714" w:hanging="357"/>
        <w:contextualSpacing w:val="0"/>
        <w:jc w:val="both"/>
        <w:rPr>
          <w:sz w:val="24"/>
          <w:szCs w:val="24"/>
          <w:lang w:val="el-GR" w:eastAsia="de-DE"/>
        </w:rPr>
      </w:pPr>
      <w:r>
        <w:rPr>
          <w:b/>
          <w:bCs/>
          <w:sz w:val="24"/>
          <w:szCs w:val="24"/>
          <w:lang w:val="el-GR" w:eastAsia="de-DE"/>
        </w:rPr>
        <w:t>Ο δείκτης απασχόλησης</w:t>
      </w:r>
      <w:r>
        <w:rPr>
          <w:sz w:val="24"/>
          <w:szCs w:val="24"/>
          <w:lang w:val="el-GR" w:eastAsia="de-DE"/>
        </w:rPr>
        <w:t xml:space="preserve"> των νέων και ενηλίκων ως 44 ετών ανέρχεται μόλις στο </w:t>
      </w:r>
      <w:r>
        <w:rPr>
          <w:b/>
          <w:bCs/>
          <w:sz w:val="24"/>
          <w:szCs w:val="24"/>
          <w:lang w:val="el-GR" w:eastAsia="de-DE"/>
        </w:rPr>
        <w:t>12,5%</w:t>
      </w:r>
      <w:r>
        <w:rPr>
          <w:sz w:val="24"/>
          <w:szCs w:val="24"/>
          <w:lang w:val="el-GR" w:eastAsia="de-DE"/>
        </w:rPr>
        <w:t>, όταν στην ίδια ηλικιακή ομάδα, τα άτομα χωρίς αναπηρία είναι ενταγμένα στην απασχόληση σε ποσοστό 58%.</w:t>
      </w:r>
    </w:p>
    <w:p w14:paraId="50DF5E1D" w14:textId="5F7BC2A9" w:rsidR="007D51AE" w:rsidRDefault="00000000" w:rsidP="00B44236">
      <w:pPr>
        <w:pStyle w:val="af2"/>
        <w:numPr>
          <w:ilvl w:val="0"/>
          <w:numId w:val="2"/>
        </w:numPr>
        <w:spacing w:after="120"/>
        <w:ind w:left="714" w:hanging="357"/>
        <w:contextualSpacing w:val="0"/>
        <w:jc w:val="both"/>
        <w:rPr>
          <w:sz w:val="24"/>
          <w:szCs w:val="24"/>
          <w:lang w:val="el-GR" w:eastAsia="de-DE"/>
        </w:rPr>
      </w:pPr>
      <w:r>
        <w:rPr>
          <w:sz w:val="24"/>
          <w:szCs w:val="24"/>
          <w:lang w:val="el-GR" w:eastAsia="de-DE"/>
        </w:rPr>
        <w:t>Ιδιαίτερα ανησυχητικό εύρημα για τους νέους και τα άτομα σε πρώιμη ενηλικίωση είναι ότι η μεγάλη πλειονότητα τους,</w:t>
      </w:r>
      <w:r>
        <w:rPr>
          <w:b/>
          <w:bCs/>
          <w:sz w:val="24"/>
          <w:szCs w:val="24"/>
          <w:lang w:val="el-GR" w:eastAsia="de-DE"/>
        </w:rPr>
        <w:t xml:space="preserve"> όχι μόνο αποτελούν οικονομικά ανενεργό πληθυσμό αλλά ταυτόχρονα βρίσκεται εκτός εκπαιδευτικής διαδικασίας, είτε τυπικής είτε άτυπης.</w:t>
      </w:r>
      <w:r>
        <w:rPr>
          <w:sz w:val="24"/>
          <w:szCs w:val="24"/>
          <w:lang w:val="el-GR" w:eastAsia="de-DE"/>
        </w:rPr>
        <w:t xml:space="preserve"> Πιο αναλυτικά το </w:t>
      </w:r>
      <w:r>
        <w:rPr>
          <w:b/>
          <w:bCs/>
          <w:sz w:val="24"/>
          <w:szCs w:val="24"/>
          <w:lang w:val="el-GR" w:eastAsia="de-DE"/>
        </w:rPr>
        <w:t>82%</w:t>
      </w:r>
      <w:r>
        <w:rPr>
          <w:sz w:val="24"/>
          <w:szCs w:val="24"/>
          <w:lang w:val="el-GR" w:eastAsia="de-DE"/>
        </w:rPr>
        <w:t xml:space="preserve"> των ανενεργών ατόμων με αναπηρία και ηλικία 15-44 ετών, δεν παρακολουθεί κάποιο πρόγραμμα εκπαίδευσης ή κατάρτισης, είτε εντός είτε εκτός του επίσημου εκπαιδευτικού συστήματος.</w:t>
      </w:r>
      <w:r w:rsidR="00B44236">
        <w:rPr>
          <w:sz w:val="24"/>
          <w:szCs w:val="24"/>
          <w:lang w:val="el-GR" w:eastAsia="de-DE"/>
        </w:rPr>
        <w:t xml:space="preserve"> </w:t>
      </w:r>
    </w:p>
    <w:p w14:paraId="4F894572" w14:textId="77777777" w:rsidR="00B44236" w:rsidRDefault="00B44236">
      <w:pPr>
        <w:spacing w:after="0" w:line="240" w:lineRule="auto"/>
        <w:rPr>
          <w:rFonts w:asciiTheme="majorHAnsi" w:eastAsiaTheme="majorEastAsia" w:hAnsiTheme="majorHAnsi" w:cstheme="majorBidi"/>
          <w:b/>
          <w:bCs/>
          <w:color w:val="000000" w:themeColor="text1"/>
          <w:sz w:val="32"/>
          <w:szCs w:val="32"/>
          <w:u w:val="single"/>
          <w:lang w:val="el-GR"/>
        </w:rPr>
      </w:pPr>
      <w:bookmarkStart w:id="3" w:name="_Toc145080421"/>
      <w:r>
        <w:rPr>
          <w:b/>
          <w:bCs/>
          <w:color w:val="000000" w:themeColor="text1"/>
          <w:u w:val="single"/>
          <w:lang w:val="el-GR"/>
        </w:rPr>
        <w:br w:type="page"/>
      </w:r>
    </w:p>
    <w:p w14:paraId="212851BE" w14:textId="7F287E7C" w:rsidR="007D51AE" w:rsidRDefault="00000000">
      <w:pPr>
        <w:pStyle w:val="1"/>
        <w:numPr>
          <w:ilvl w:val="0"/>
          <w:numId w:val="0"/>
        </w:numPr>
        <w:spacing w:before="600" w:after="240"/>
        <w:jc w:val="center"/>
        <w:rPr>
          <w:b/>
          <w:bCs/>
          <w:color w:val="000000" w:themeColor="text1"/>
          <w:u w:val="single"/>
          <w:lang w:val="el-GR"/>
        </w:rPr>
      </w:pPr>
      <w:r>
        <w:rPr>
          <w:b/>
          <w:bCs/>
          <w:color w:val="000000" w:themeColor="text1"/>
          <w:u w:val="single"/>
          <w:lang w:val="el-GR"/>
        </w:rPr>
        <w:lastRenderedPageBreak/>
        <w:t>ΒΑΣΙΚΑ ΣΥΜΠΕΡΑΣΜΑΤΑ</w:t>
      </w:r>
      <w:bookmarkEnd w:id="3"/>
    </w:p>
    <w:tbl>
      <w:tblPr>
        <w:tblStyle w:val="ae"/>
        <w:tblW w:w="0" w:type="auto"/>
        <w:shd w:val="clear" w:color="auto" w:fill="EBF1DE"/>
        <w:tblLook w:val="04A0" w:firstRow="1" w:lastRow="0" w:firstColumn="1" w:lastColumn="0" w:noHBand="0" w:noVBand="1"/>
      </w:tblPr>
      <w:tblGrid>
        <w:gridCol w:w="8777"/>
      </w:tblGrid>
      <w:tr w:rsidR="00B44236" w14:paraId="7CFABFE1" w14:textId="77777777" w:rsidTr="00E855BC">
        <w:tc>
          <w:tcPr>
            <w:tcW w:w="8777" w:type="dxa"/>
            <w:shd w:val="clear" w:color="auto" w:fill="EBF1DE"/>
          </w:tcPr>
          <w:p w14:paraId="506379B1" w14:textId="77777777" w:rsidR="00E855BC" w:rsidRPr="00E855BC" w:rsidRDefault="00E855BC" w:rsidP="00E855BC">
            <w:pPr>
              <w:spacing w:before="120"/>
              <w:jc w:val="both"/>
              <w:rPr>
                <w:lang w:val="el-GR"/>
              </w:rPr>
            </w:pPr>
            <w:r w:rsidRPr="00E855BC">
              <w:rPr>
                <w:lang w:val="el-GR"/>
              </w:rPr>
              <w:t xml:space="preserve">Στη σημερινή συγκυρία, στα απότοκα της υγειονομικής κρίσης ήρθαν να προστεθούν αλλεπάλληλοι επιβαρυντικοί παράγοντες και κίνδυνοι για το διαθέσιμο εισόδημα, την αξιοπρεπή διαβίωση και την υγεία των πολιτών (ενεργειακή κρίση, πληθωρισμός, κλιματική κρίση κ.α.). Σε αυτό το απειλητικό τοπίο, τα άτομα με αναπηρία και οι οικογένειες τους έχουν έρθει σε επικίνδυνα οριακό σημείο ως προς την δυνατότητα τους να καλύπτουν βασικές ανάγκες διαβίωσης. </w:t>
            </w:r>
          </w:p>
          <w:p w14:paraId="134048C8" w14:textId="77777777" w:rsidR="00E855BC" w:rsidRPr="00E855BC" w:rsidRDefault="00E855BC" w:rsidP="00E855BC">
            <w:pPr>
              <w:jc w:val="both"/>
              <w:rPr>
                <w:lang w:val="el-GR"/>
              </w:rPr>
            </w:pPr>
            <w:r w:rsidRPr="00E855BC">
              <w:rPr>
                <w:lang w:val="el-GR"/>
              </w:rPr>
              <w:t xml:space="preserve">Αυτή η συνθήκη καθιστά τα ευρήματα του Δελτίου του Παρατηρητηρίου Θεμάτων Αναπηρίας ακόμα πιο ζοφερά, αφού χαρτογραφούν μια ολόκληρη κατηγορία πληθυσμού, που ξεπερνάει το 1.000.000 άτομα, η οποία βρίσκεται εντελώς αποκλεισμένη από το θεμελιώδες δικαίωμα πρόσβασης στην εργασία και συνεπώς στην αξιοπρεπή διαβίωση. </w:t>
            </w:r>
          </w:p>
          <w:p w14:paraId="2434CD17" w14:textId="77777777" w:rsidR="00E855BC" w:rsidRPr="00E855BC" w:rsidRDefault="00E855BC" w:rsidP="00E855BC">
            <w:pPr>
              <w:spacing w:after="80"/>
              <w:jc w:val="both"/>
              <w:rPr>
                <w:lang w:val="el-GR"/>
              </w:rPr>
            </w:pPr>
            <w:r w:rsidRPr="00E855BC">
              <w:rPr>
                <w:b/>
                <w:bCs/>
                <w:lang w:val="el-GR"/>
              </w:rPr>
              <w:t xml:space="preserve">Η </w:t>
            </w:r>
            <w:r w:rsidRPr="00E855BC">
              <w:rPr>
                <w:b/>
                <w:bCs/>
                <w:u w:val="single"/>
                <w:lang w:val="el-GR"/>
              </w:rPr>
              <w:t>σοβαρότητα αυτού του αποκλεισμού</w:t>
            </w:r>
            <w:r w:rsidRPr="00E855BC">
              <w:rPr>
                <w:lang w:val="el-GR"/>
              </w:rPr>
              <w:t xml:space="preserve"> γίνεται φανερή, όχι μόνο από το </w:t>
            </w:r>
            <w:r w:rsidRPr="00E855BC">
              <w:rPr>
                <w:b/>
                <w:bCs/>
                <w:lang w:val="el-GR"/>
              </w:rPr>
              <w:t>κραυγαλέο χάσμα στα επίπεδα απασχόλησης</w:t>
            </w:r>
            <w:r w:rsidRPr="00E855BC">
              <w:rPr>
                <w:lang w:val="el-GR"/>
              </w:rPr>
              <w:t xml:space="preserve"> του πληθυσμού με αναπηρία σε σύγκριση με τα άτομα χωρίς αναπηρία, αλλά και από:</w:t>
            </w:r>
          </w:p>
          <w:p w14:paraId="18ACBA2F" w14:textId="6566D9BA" w:rsidR="00E855BC" w:rsidRPr="00E855BC" w:rsidRDefault="00E855BC" w:rsidP="00E855BC">
            <w:pPr>
              <w:pStyle w:val="af2"/>
              <w:numPr>
                <w:ilvl w:val="0"/>
                <w:numId w:val="4"/>
              </w:numPr>
              <w:spacing w:after="80"/>
              <w:ind w:left="714" w:hanging="357"/>
              <w:contextualSpacing w:val="0"/>
              <w:jc w:val="both"/>
              <w:rPr>
                <w:lang w:val="el-GR"/>
              </w:rPr>
            </w:pPr>
            <w:r w:rsidRPr="00E855BC">
              <w:rPr>
                <w:b/>
                <w:bCs/>
                <w:lang w:val="el-GR"/>
              </w:rPr>
              <w:t>τα συντριπτικά ποσοστά των ατόμων με αναπηρία που βρίσκονται εκτός του εργατικού δυναμικού της χώρας</w:t>
            </w:r>
            <w:r w:rsidRPr="00E855BC">
              <w:rPr>
                <w:lang w:val="el-GR"/>
              </w:rPr>
              <w:t xml:space="preserve"> παρότι βρίσκονται στις κατεξοχήν παραγωγικές ηλικίες,</w:t>
            </w:r>
          </w:p>
          <w:p w14:paraId="356F53D9" w14:textId="35BBA7D0" w:rsidR="00E855BC" w:rsidRPr="00E855BC" w:rsidRDefault="00E855BC" w:rsidP="00E855BC">
            <w:pPr>
              <w:pStyle w:val="af2"/>
              <w:numPr>
                <w:ilvl w:val="0"/>
                <w:numId w:val="4"/>
              </w:numPr>
              <w:spacing w:after="80"/>
              <w:ind w:left="714" w:hanging="357"/>
              <w:contextualSpacing w:val="0"/>
              <w:jc w:val="both"/>
              <w:rPr>
                <w:lang w:val="el-GR"/>
              </w:rPr>
            </w:pPr>
            <w:r w:rsidRPr="00E855BC">
              <w:rPr>
                <w:lang w:val="el-GR"/>
              </w:rPr>
              <w:t>τα ακραία ποσοστά των νέων και ενηλίκων της πρώτης παραγωγικής ηλικίας που βρίσκονται ταυτόχρονα εκτός εργασίας, εκτός εκπαίδευσης και κατάρτισης, χωρίς συνεπώς να προδιαγράφεται καμία θετική εξέλιξη για την κοινωνική τους ένταξη,</w:t>
            </w:r>
          </w:p>
          <w:p w14:paraId="0AF07D35" w14:textId="7B2197F9" w:rsidR="00E855BC" w:rsidRPr="00E855BC" w:rsidRDefault="00E855BC" w:rsidP="00E855BC">
            <w:pPr>
              <w:pStyle w:val="af2"/>
              <w:numPr>
                <w:ilvl w:val="0"/>
                <w:numId w:val="4"/>
              </w:numPr>
              <w:spacing w:after="80"/>
              <w:ind w:left="714" w:hanging="357"/>
              <w:contextualSpacing w:val="0"/>
              <w:jc w:val="both"/>
              <w:rPr>
                <w:lang w:val="el-GR"/>
              </w:rPr>
            </w:pPr>
            <w:r w:rsidRPr="00E855BC">
              <w:rPr>
                <w:lang w:val="el-GR"/>
              </w:rPr>
              <w:t>την επιμονή του φαινομένου της ανεργίας, με την μεγάλη πλειονότητα των ανέργων με αναπηρία να κατατάσσονται στους μακροχρόνια άνεργους,</w:t>
            </w:r>
          </w:p>
          <w:p w14:paraId="470017C5" w14:textId="52D01B40" w:rsidR="00E855BC" w:rsidRPr="00E855BC" w:rsidRDefault="00E855BC" w:rsidP="00E855BC">
            <w:pPr>
              <w:pStyle w:val="af2"/>
              <w:numPr>
                <w:ilvl w:val="0"/>
                <w:numId w:val="4"/>
              </w:numPr>
              <w:spacing w:after="80"/>
              <w:ind w:left="714" w:hanging="357"/>
              <w:contextualSpacing w:val="0"/>
              <w:jc w:val="both"/>
              <w:rPr>
                <w:lang w:val="el-GR"/>
              </w:rPr>
            </w:pPr>
            <w:r w:rsidRPr="00E855BC">
              <w:rPr>
                <w:lang w:val="el-GR"/>
              </w:rPr>
              <w:t>τη μη απορρόφηση στην αγορά εργασίας ακόμα και ανέργων με αναπηρία που διαθέτουν υψηλά τυπικά προσόντα, λόγω των εμπεδωμένων στερεοτύπων και προκαταλήψεων των εργοδοτών και της κοινωνίας,</w:t>
            </w:r>
          </w:p>
          <w:p w14:paraId="699CBF46" w14:textId="14B24064" w:rsidR="00E855BC" w:rsidRPr="00E855BC" w:rsidRDefault="00E855BC" w:rsidP="00E855BC">
            <w:pPr>
              <w:pStyle w:val="af2"/>
              <w:numPr>
                <w:ilvl w:val="0"/>
                <w:numId w:val="4"/>
              </w:numPr>
              <w:spacing w:after="80"/>
              <w:ind w:left="714" w:hanging="357"/>
              <w:contextualSpacing w:val="0"/>
              <w:jc w:val="both"/>
              <w:rPr>
                <w:lang w:val="el-GR"/>
              </w:rPr>
            </w:pPr>
            <w:r w:rsidRPr="00E855BC">
              <w:rPr>
                <w:lang w:val="el-GR"/>
              </w:rPr>
              <w:t>την ιδιαίτερα περιορισμένη πρόσβαση των ατόμων με αναπηρία σε υπηρεσίες εύρεσης και αναζήτησης εργασίας, αφού η πλειονότητα αυτών που καταφέρνουν να βρουν μια απασχόληση το πετυχαίνουν κυρίως μέσω της “βοήθειας” φίλων και συγγενών.</w:t>
            </w:r>
          </w:p>
          <w:p w14:paraId="3D62D10C" w14:textId="77777777" w:rsidR="00E855BC" w:rsidRPr="00E855BC" w:rsidRDefault="00E855BC" w:rsidP="00E855BC">
            <w:pPr>
              <w:spacing w:before="160"/>
              <w:jc w:val="both"/>
              <w:rPr>
                <w:lang w:val="el-GR"/>
              </w:rPr>
            </w:pPr>
            <w:r w:rsidRPr="00E855BC">
              <w:rPr>
                <w:b/>
                <w:bCs/>
                <w:lang w:val="el-GR"/>
              </w:rPr>
              <w:t>Όλα αυτά τα δεδομένα που φέρνουμε στο φως της δημοσιότητας, συνθέτουν μια εικόνα αποκαρδιωτική και πολύ ανησυχητική, ιδιαίτερα για τους νέους με αναπηρία και τα άτομα στη πρώτη φάση της ενηλικίωσης τους</w:t>
            </w:r>
            <w:r w:rsidRPr="00E855BC">
              <w:rPr>
                <w:lang w:val="el-GR"/>
              </w:rPr>
              <w:t xml:space="preserve">, φάση που αποτελεί το σημαντικότερο στάδιο για την ανάπτυξη και εξέλιξη της επαγγελματικής ζωής. </w:t>
            </w:r>
          </w:p>
          <w:p w14:paraId="12FA936D" w14:textId="77777777" w:rsidR="00E855BC" w:rsidRPr="00E855BC" w:rsidRDefault="00E855BC" w:rsidP="00E855BC">
            <w:pPr>
              <w:jc w:val="both"/>
              <w:rPr>
                <w:lang w:val="el-GR"/>
              </w:rPr>
            </w:pPr>
            <w:r w:rsidRPr="00E855BC">
              <w:rPr>
                <w:b/>
                <w:bCs/>
                <w:lang w:val="el-GR"/>
              </w:rPr>
              <w:t>Η θέση της Ε.Σ.Α.μεΑ.</w:t>
            </w:r>
            <w:r w:rsidRPr="00E855BC">
              <w:rPr>
                <w:lang w:val="el-GR"/>
              </w:rPr>
              <w:t xml:space="preserve">, για την </w:t>
            </w:r>
            <w:r w:rsidRPr="00E855BC">
              <w:rPr>
                <w:b/>
                <w:bCs/>
                <w:lang w:val="el-GR"/>
              </w:rPr>
              <w:t>εκπόνηση και εφαρμογή από την ελληνική Πολιτεία ολοκληρωμένης εθνικής στρατηγικής για την απασχόληση και την εργασία</w:t>
            </w:r>
            <w:r w:rsidRPr="00E855BC">
              <w:rPr>
                <w:lang w:val="el-GR"/>
              </w:rPr>
              <w:t xml:space="preserve"> των ατόμων με αναπηρία και ειδικότερα των νέων, επανέρχεται επιτακτικά ως αδήριτη αναγκαιότητα. </w:t>
            </w:r>
          </w:p>
          <w:p w14:paraId="31F67CD0" w14:textId="70EE5FB6" w:rsidR="00E855BC" w:rsidRPr="00E855BC" w:rsidRDefault="00E855BC" w:rsidP="00E855BC">
            <w:pPr>
              <w:jc w:val="both"/>
              <w:rPr>
                <w:lang w:val="el-GR"/>
              </w:rPr>
            </w:pPr>
            <w:r w:rsidRPr="00E855BC">
              <w:rPr>
                <w:lang w:val="el-GR"/>
              </w:rPr>
              <w:lastRenderedPageBreak/>
              <w:t xml:space="preserve">Στόχος της εθνικής στρατηγικής πρέπει να είναι η πλήρης εφαρμογή των απαιτήσεων/επιταγών: α) του άρθρου 21, παρ. 6 του Συντάγματος της χώρας, σύμφωνα με το οποίο: </w:t>
            </w:r>
            <w:r w:rsidRPr="00E855BC">
              <w:rPr>
                <w:i/>
                <w:iCs/>
                <w:lang w:val="el-GR"/>
              </w:rPr>
              <w:t>«Τα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E855BC">
              <w:rPr>
                <w:lang w:val="el-GR"/>
              </w:rPr>
              <w:t xml:space="preserve">, β) του άρθρου 27 της Σύμβασης των Ηνωμένων Εθνών για τα Δικαιώματα των Ατόμων με Αναπηρία, όπως άλλωστε επιβάλλεται από τον πρόσφατο νόμο 4488/2017 (Μέρος Δ΄) και </w:t>
            </w:r>
            <w:r>
              <w:rPr>
                <w:lang w:val="el-GR"/>
              </w:rPr>
              <w:br/>
            </w:r>
            <w:r w:rsidRPr="00E855BC">
              <w:rPr>
                <w:lang w:val="el-GR"/>
              </w:rPr>
              <w:t>γ) των άρθρων 2, 3, 5 και 7 του ν.4443/2016 για την εφαρμογή της ίσης μεταχείρισης στην απασχόληση και την εργασία.</w:t>
            </w:r>
          </w:p>
          <w:p w14:paraId="581F0496" w14:textId="77777777" w:rsidR="00E855BC" w:rsidRPr="00E855BC" w:rsidRDefault="00E855BC" w:rsidP="00E855BC">
            <w:pPr>
              <w:jc w:val="both"/>
              <w:rPr>
                <w:lang w:val="el-GR"/>
              </w:rPr>
            </w:pPr>
            <w:r w:rsidRPr="00E855BC">
              <w:rPr>
                <w:lang w:val="el-GR"/>
              </w:rPr>
              <w:t xml:space="preserve">Προϋπόθεση για την εκπόνηση εθνικής στρατηγικής για την απασχόληση των ατόμων με αναπηρία αποτελεί η ουσιαστική διερεύνηση των εμποδίων και των αναγκών που έχουν τα άτομα με αναπηρία σε επίπεδο προσαρμογών και υποστήριξης στην εργασία, αλλά και απόκτησης νέων δεξιοτήτων, προκειμένου </w:t>
            </w:r>
            <w:r w:rsidRPr="00E855BC">
              <w:rPr>
                <w:b/>
                <w:bCs/>
                <w:lang w:val="el-GR"/>
              </w:rPr>
              <w:t>να αυξηθούν οι προοπτικές απασχόλησής τους και να ενθαρρυνθούν ως προς την ενεργό αναζήτηση εργασίας</w:t>
            </w:r>
            <w:r w:rsidRPr="00E855BC">
              <w:rPr>
                <w:lang w:val="el-GR"/>
              </w:rPr>
              <w:t>.</w:t>
            </w:r>
          </w:p>
          <w:p w14:paraId="38FFE435" w14:textId="77777777" w:rsidR="00E855BC" w:rsidRPr="00E855BC" w:rsidRDefault="00E855BC" w:rsidP="00E855BC">
            <w:pPr>
              <w:jc w:val="both"/>
              <w:rPr>
                <w:lang w:val="el-GR"/>
              </w:rPr>
            </w:pPr>
            <w:r w:rsidRPr="00E855BC">
              <w:rPr>
                <w:lang w:val="el-GR"/>
              </w:rPr>
              <w:t>Προτεραιότητα της Πολιτείας θα πρέπει να είναι η λήψη θετικών μέτρων ενίσχυσης της απασχόλησης, η προώθηση της προσβασιμότητας στην εργασία, καθώς και η εφαρμογή εναλλακτικών μορφών εργασίας (π.χ. υποστηριζόμενη απασχόληση) που θα επιτρέψουν στα άτομα με σοβαρές αναπηρίες, τα οποία χρήζουν πρόσθετης υποστήριξης, να ασκήσουν το θεμελιώδες δικαίωμα στην εργασία.</w:t>
            </w:r>
          </w:p>
          <w:p w14:paraId="033E02B6" w14:textId="4BE28671" w:rsidR="00B44236" w:rsidRDefault="00E855BC" w:rsidP="00E855BC">
            <w:pPr>
              <w:jc w:val="both"/>
              <w:rPr>
                <w:highlight w:val="yellow"/>
                <w:lang w:val="el-GR"/>
              </w:rPr>
            </w:pPr>
            <w:r w:rsidRPr="00E855BC">
              <w:rPr>
                <w:b/>
                <w:bCs/>
                <w:lang w:val="el-GR"/>
              </w:rPr>
              <w:t>Η εθνική στρατηγική για την απασχόληση των ατόμων με αναπηρία σε κάθε περίπτωση θα πρέπει να συνδεθεί με μια νέα επιδοματική πολιτική που να μην στερεί τα αναπηρικά επιδόματα από τους εργαζόμενους με αναπηρία</w:t>
            </w:r>
            <w:r w:rsidRPr="00E855BC">
              <w:rPr>
                <w:lang w:val="el-GR"/>
              </w:rPr>
              <w:t>, επιδόματα που αποσκοπούν στην κάλυψη του πρόσθετου κόστους διαβίωσης που η αναπηρία δημιουργεί, και όχι στην κάλυψη των κοινών βιοποριστικών αναγκών.</w:t>
            </w:r>
          </w:p>
        </w:tc>
      </w:tr>
    </w:tbl>
    <w:p w14:paraId="15BDD8AB" w14:textId="77777777" w:rsidR="007D51AE" w:rsidRDefault="007D51AE">
      <w:pPr>
        <w:rPr>
          <w:highlight w:val="yellow"/>
          <w:lang w:val="el-GR"/>
        </w:rPr>
      </w:pPr>
    </w:p>
    <w:p w14:paraId="424D8871" w14:textId="77777777" w:rsidR="00E855BC" w:rsidRDefault="00E855BC">
      <w:pPr>
        <w:spacing w:after="0" w:line="240" w:lineRule="auto"/>
        <w:rPr>
          <w:rFonts w:asciiTheme="majorHAnsi" w:eastAsiaTheme="majorEastAsia" w:hAnsiTheme="majorHAnsi" w:cstheme="majorBidi"/>
          <w:b/>
          <w:bCs/>
          <w:color w:val="000000" w:themeColor="text1"/>
          <w:sz w:val="32"/>
          <w:szCs w:val="32"/>
          <w:u w:val="single"/>
          <w:lang w:val="el-GR"/>
        </w:rPr>
      </w:pPr>
      <w:bookmarkStart w:id="4" w:name="_Toc145080422"/>
      <w:r>
        <w:rPr>
          <w:b/>
          <w:bCs/>
          <w:color w:val="000000" w:themeColor="text1"/>
          <w:u w:val="single"/>
          <w:lang w:val="el-GR"/>
        </w:rPr>
        <w:br w:type="page"/>
      </w:r>
    </w:p>
    <w:p w14:paraId="4E58555E" w14:textId="00226371" w:rsidR="007D51AE" w:rsidRDefault="00000000">
      <w:pPr>
        <w:pStyle w:val="1"/>
        <w:numPr>
          <w:ilvl w:val="0"/>
          <w:numId w:val="0"/>
        </w:numPr>
        <w:spacing w:before="600" w:after="240"/>
        <w:jc w:val="center"/>
        <w:rPr>
          <w:b/>
          <w:bCs/>
          <w:color w:val="000000" w:themeColor="text1"/>
          <w:u w:val="single"/>
          <w:lang w:val="el-GR"/>
        </w:rPr>
      </w:pPr>
      <w:r>
        <w:rPr>
          <w:b/>
          <w:bCs/>
          <w:color w:val="000000" w:themeColor="text1"/>
          <w:u w:val="single"/>
          <w:lang w:val="el-GR"/>
        </w:rPr>
        <w:lastRenderedPageBreak/>
        <w:t>ΑΝΑΛΥΣΗ ΕΥΡΥΜΑΤΩΝ</w:t>
      </w:r>
      <w:bookmarkEnd w:id="4"/>
    </w:p>
    <w:p w14:paraId="2DCFE452" w14:textId="11EA9A0D" w:rsidR="007D51AE" w:rsidRDefault="00000000">
      <w:pPr>
        <w:pStyle w:val="2"/>
        <w:tabs>
          <w:tab w:val="left" w:pos="360"/>
        </w:tabs>
        <w:spacing w:before="360" w:after="240"/>
        <w:ind w:left="426" w:right="-142" w:hanging="578"/>
      </w:pPr>
      <w:bookmarkStart w:id="5" w:name="_Toc507672671"/>
      <w:bookmarkStart w:id="6" w:name="_Toc145080423"/>
      <w:r>
        <w:t>Ο πληθυσμός των ατόμων με αναπηρία 15 ετών και άνω (ΔΕΙΚΤΗΣ GALI -</w:t>
      </w:r>
      <w:proofErr w:type="spellStart"/>
      <w:r>
        <w:t>Global</w:t>
      </w:r>
      <w:proofErr w:type="spellEnd"/>
      <w:r>
        <w:t xml:space="preserve"> </w:t>
      </w:r>
      <w:proofErr w:type="spellStart"/>
      <w:r>
        <w:t>Activity</w:t>
      </w:r>
      <w:proofErr w:type="spellEnd"/>
      <w:r>
        <w:t xml:space="preserve"> </w:t>
      </w:r>
      <w:proofErr w:type="spellStart"/>
      <w:r>
        <w:t>Limitation</w:t>
      </w:r>
      <w:proofErr w:type="spellEnd"/>
      <w:r>
        <w:t xml:space="preserve"> </w:t>
      </w:r>
      <w:proofErr w:type="spellStart"/>
      <w:r>
        <w:t>Index</w:t>
      </w:r>
      <w:proofErr w:type="spellEnd"/>
      <w:r>
        <w:t>)</w:t>
      </w:r>
      <w:bookmarkEnd w:id="5"/>
      <w:r>
        <w:t xml:space="preserve"> σύμφωνα με τα στοιχεία της Έρευνας Εργατικού Δυναμικού</w:t>
      </w:r>
      <w:bookmarkEnd w:id="6"/>
    </w:p>
    <w:p w14:paraId="1B76F5AF" w14:textId="77777777" w:rsidR="007D51AE" w:rsidRDefault="00000000">
      <w:pPr>
        <w:jc w:val="both"/>
        <w:rPr>
          <w:sz w:val="24"/>
          <w:szCs w:val="24"/>
          <w:lang w:val="el-GR"/>
        </w:rPr>
      </w:pPr>
      <w:r>
        <w:rPr>
          <w:sz w:val="24"/>
          <w:szCs w:val="24"/>
          <w:lang w:val="el-GR"/>
        </w:rPr>
        <w:t>Σύμφωνα με τα στοιχεία που συλλέχθηκαν στο πλαίσιο του 1</w:t>
      </w:r>
      <w:r>
        <w:rPr>
          <w:sz w:val="24"/>
          <w:szCs w:val="24"/>
          <w:vertAlign w:val="superscript"/>
          <w:lang w:val="el-GR"/>
        </w:rPr>
        <w:t>ου</w:t>
      </w:r>
      <w:r>
        <w:rPr>
          <w:sz w:val="24"/>
          <w:szCs w:val="24"/>
          <w:lang w:val="el-GR"/>
        </w:rPr>
        <w:t xml:space="preserve"> κύματος της Έρευνας Εργατικού Δυναμικού -έτους 2022, ο πληθυσμός των ατόμων με αναπηρία 15 ετών και άνω εκτιμάται στο </w:t>
      </w:r>
      <w:r>
        <w:rPr>
          <w:b/>
          <w:bCs/>
          <w:sz w:val="24"/>
          <w:szCs w:val="24"/>
          <w:lang w:val="el-GR"/>
        </w:rPr>
        <w:t>10% του πληθυσμού</w:t>
      </w:r>
      <w:r>
        <w:rPr>
          <w:sz w:val="24"/>
          <w:szCs w:val="24"/>
          <w:lang w:val="el-GR"/>
        </w:rPr>
        <w:t xml:space="preserve">. </w:t>
      </w:r>
    </w:p>
    <w:p w14:paraId="3DBBF086" w14:textId="5ADCCB3F" w:rsidR="007D51AE" w:rsidRDefault="00000000">
      <w:pPr>
        <w:jc w:val="both"/>
        <w:rPr>
          <w:sz w:val="24"/>
          <w:szCs w:val="24"/>
          <w:lang w:val="el-GR"/>
        </w:rPr>
      </w:pPr>
      <w:r>
        <w:rPr>
          <w:sz w:val="24"/>
          <w:szCs w:val="24"/>
          <w:lang w:val="el-GR"/>
        </w:rPr>
        <w:t xml:space="preserve">Σε απόλυτους αριθμούς τα άτομα με αναπηρία, με βάση την έρευνα αναφοράς και την επεξεργασία των στοιχείων από το Παρατηρητήριο Θεμάτων Αναπηρίας, </w:t>
      </w:r>
      <w:r>
        <w:rPr>
          <w:b/>
          <w:bCs/>
          <w:sz w:val="24"/>
          <w:szCs w:val="24"/>
          <w:lang w:val="el-GR"/>
        </w:rPr>
        <w:t>εκτιμήθηκαν σε 1.054.735</w:t>
      </w:r>
      <w:r>
        <w:rPr>
          <w:rStyle w:val="a9"/>
          <w:b/>
          <w:bCs/>
          <w:sz w:val="24"/>
          <w:szCs w:val="24"/>
          <w:lang w:val="el-GR"/>
        </w:rPr>
        <w:footnoteReference w:id="3"/>
      </w:r>
      <w:r>
        <w:rPr>
          <w:sz w:val="24"/>
          <w:szCs w:val="24"/>
          <w:lang w:val="el-GR"/>
        </w:rPr>
        <w:t>.</w:t>
      </w:r>
    </w:p>
    <w:p w14:paraId="20E8B47A" w14:textId="451F4139" w:rsidR="007D51AE" w:rsidRDefault="00000000" w:rsidP="00E855BC">
      <w:pPr>
        <w:pStyle w:val="a4"/>
        <w:keepNext/>
        <w:jc w:val="center"/>
        <w:rPr>
          <w:rFonts w:asciiTheme="majorHAnsi" w:eastAsia="Times New Roman" w:hAnsiTheme="majorHAnsi" w:cstheme="majorHAnsi"/>
          <w:b/>
          <w:bCs/>
          <w:color w:val="2F5496" w:themeColor="accent1" w:themeShade="BF"/>
          <w:sz w:val="26"/>
          <w:szCs w:val="26"/>
          <w:lang w:val="el-GR" w:eastAsia="de-DE"/>
        </w:rPr>
      </w:pPr>
      <w:r>
        <w:rPr>
          <w:rFonts w:asciiTheme="majorHAnsi" w:eastAsia="Times New Roman" w:hAnsiTheme="majorHAnsi" w:cstheme="majorHAnsi"/>
          <w:b/>
          <w:bCs/>
          <w:color w:val="2F5496" w:themeColor="accent1" w:themeShade="BF"/>
          <w:sz w:val="26"/>
          <w:szCs w:val="26"/>
          <w:lang w:val="el-GR" w:eastAsia="de-DE"/>
        </w:rPr>
        <w:t xml:space="preserve">Πίνακας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Πίνακας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sidR="00436DBE">
        <w:rPr>
          <w:rFonts w:asciiTheme="majorHAnsi" w:eastAsia="Times New Roman" w:hAnsiTheme="majorHAnsi" w:cstheme="majorHAnsi"/>
          <w:b/>
          <w:bCs/>
          <w:noProof/>
          <w:color w:val="2F5496" w:themeColor="accent1" w:themeShade="BF"/>
          <w:sz w:val="26"/>
          <w:szCs w:val="26"/>
          <w:lang w:eastAsia="de-DE"/>
        </w:rPr>
        <w:t>1</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xml:space="preserve">: Πληθυσμός ηλικίας 15 ετών και άνω και </w:t>
      </w:r>
      <w:r w:rsidR="00E855BC">
        <w:rPr>
          <w:rFonts w:asciiTheme="majorHAnsi" w:eastAsia="Times New Roman" w:hAnsiTheme="majorHAnsi" w:cstheme="majorHAnsi"/>
          <w:b/>
          <w:bCs/>
          <w:color w:val="2F5496" w:themeColor="accent1" w:themeShade="BF"/>
          <w:sz w:val="26"/>
          <w:szCs w:val="26"/>
          <w:lang w:val="el-GR" w:eastAsia="de-DE"/>
        </w:rPr>
        <w:br/>
      </w:r>
      <w:r>
        <w:rPr>
          <w:rFonts w:asciiTheme="majorHAnsi" w:eastAsia="Times New Roman" w:hAnsiTheme="majorHAnsi" w:cstheme="majorHAnsi"/>
          <w:b/>
          <w:bCs/>
          <w:color w:val="2F5496" w:themeColor="accent1" w:themeShade="BF"/>
          <w:sz w:val="26"/>
          <w:szCs w:val="26"/>
          <w:lang w:val="el-GR" w:eastAsia="de-DE"/>
        </w:rPr>
        <w:t>κατάσταση αναπηρίας (ΕΕΔ, 2022)</w:t>
      </w:r>
    </w:p>
    <w:tbl>
      <w:tblPr>
        <w:tblW w:w="773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5189"/>
        <w:gridCol w:w="1473"/>
        <w:gridCol w:w="1077"/>
      </w:tblGrid>
      <w:tr w:rsidR="007D51AE" w14:paraId="519E3D18" w14:textId="77777777" w:rsidTr="00E855BC">
        <w:trPr>
          <w:trHeight w:val="333"/>
          <w:jc w:val="center"/>
        </w:trPr>
        <w:tc>
          <w:tcPr>
            <w:tcW w:w="5189" w:type="dxa"/>
            <w:tcBorders>
              <w:top w:val="nil"/>
              <w:left w:val="nil"/>
              <w:bottom w:val="single" w:sz="6" w:space="0" w:color="000000"/>
            </w:tcBorders>
            <w:shd w:val="clear" w:color="auto" w:fill="auto"/>
            <w:vAlign w:val="bottom"/>
          </w:tcPr>
          <w:p w14:paraId="1A6060B3" w14:textId="271D8230" w:rsidR="007D51AE" w:rsidRPr="00E855BC" w:rsidRDefault="007D51AE">
            <w:pPr>
              <w:spacing w:after="0" w:line="240" w:lineRule="auto"/>
              <w:rPr>
                <w:rFonts w:asciiTheme="majorHAnsi" w:eastAsia="Times New Roman" w:hAnsiTheme="majorHAnsi" w:cstheme="majorHAnsi"/>
                <w:b/>
                <w:bCs/>
                <w:color w:val="000000"/>
                <w:sz w:val="24"/>
                <w:szCs w:val="24"/>
                <w:lang w:val="el-GR" w:eastAsia="de-DE"/>
              </w:rPr>
            </w:pPr>
          </w:p>
        </w:tc>
        <w:tc>
          <w:tcPr>
            <w:tcW w:w="1473" w:type="dxa"/>
            <w:shd w:val="clear" w:color="auto" w:fill="auto"/>
            <w:vAlign w:val="bottom"/>
          </w:tcPr>
          <w:p w14:paraId="7E6A653A" w14:textId="77777777" w:rsidR="007D51AE" w:rsidRPr="00E855BC" w:rsidRDefault="00000000" w:rsidP="00E855BC">
            <w:pPr>
              <w:spacing w:after="0" w:line="240" w:lineRule="auto"/>
              <w:jc w:val="right"/>
              <w:rPr>
                <w:rFonts w:asciiTheme="majorHAnsi" w:eastAsia="Times New Roman" w:hAnsiTheme="majorHAnsi" w:cstheme="majorHAnsi"/>
                <w:b/>
                <w:bCs/>
                <w:color w:val="000000"/>
                <w:sz w:val="24"/>
                <w:szCs w:val="24"/>
                <w:lang w:val="el-GR" w:eastAsia="de-DE"/>
              </w:rPr>
            </w:pPr>
            <w:r w:rsidRPr="00E855BC">
              <w:rPr>
                <w:rFonts w:asciiTheme="majorHAnsi" w:eastAsia="Times New Roman" w:hAnsiTheme="majorHAnsi" w:cstheme="majorHAnsi"/>
                <w:b/>
                <w:bCs/>
                <w:color w:val="000000"/>
                <w:sz w:val="24"/>
                <w:szCs w:val="24"/>
                <w:lang w:val="el-GR" w:eastAsia="de-DE"/>
              </w:rPr>
              <w:t>Πλήθος</w:t>
            </w:r>
          </w:p>
        </w:tc>
        <w:tc>
          <w:tcPr>
            <w:tcW w:w="1077" w:type="dxa"/>
            <w:shd w:val="clear" w:color="auto" w:fill="auto"/>
            <w:vAlign w:val="bottom"/>
          </w:tcPr>
          <w:p w14:paraId="52BA56BC" w14:textId="77777777" w:rsidR="007D51AE" w:rsidRPr="00E855BC" w:rsidRDefault="00000000" w:rsidP="00E855BC">
            <w:pPr>
              <w:spacing w:after="0" w:line="240" w:lineRule="auto"/>
              <w:jc w:val="right"/>
              <w:rPr>
                <w:rFonts w:asciiTheme="majorHAnsi" w:eastAsia="Times New Roman" w:hAnsiTheme="majorHAnsi" w:cstheme="majorHAnsi"/>
                <w:b/>
                <w:bCs/>
                <w:color w:val="000000"/>
                <w:sz w:val="24"/>
                <w:szCs w:val="24"/>
                <w:lang w:val="el-GR" w:eastAsia="de-DE"/>
              </w:rPr>
            </w:pPr>
            <w:r w:rsidRPr="00E855BC">
              <w:rPr>
                <w:rFonts w:asciiTheme="majorHAnsi" w:eastAsia="Times New Roman" w:hAnsiTheme="majorHAnsi" w:cstheme="majorHAnsi"/>
                <w:b/>
                <w:bCs/>
                <w:color w:val="000000"/>
                <w:sz w:val="24"/>
                <w:szCs w:val="24"/>
                <w:lang w:val="el-GR" w:eastAsia="de-DE"/>
              </w:rPr>
              <w:t>%</w:t>
            </w:r>
          </w:p>
        </w:tc>
      </w:tr>
      <w:tr w:rsidR="007D51AE" w14:paraId="5EC4EF96" w14:textId="77777777" w:rsidTr="00E855BC">
        <w:trPr>
          <w:trHeight w:val="332"/>
          <w:jc w:val="center"/>
        </w:trPr>
        <w:tc>
          <w:tcPr>
            <w:tcW w:w="5189" w:type="dxa"/>
            <w:tcBorders>
              <w:top w:val="single" w:sz="6" w:space="0" w:color="000000"/>
            </w:tcBorders>
            <w:shd w:val="clear" w:color="auto" w:fill="auto"/>
            <w:noWrap/>
          </w:tcPr>
          <w:p w14:paraId="3E9A908B" w14:textId="77777777" w:rsidR="007D51AE" w:rsidRPr="00E855BC" w:rsidRDefault="00000000">
            <w:pPr>
              <w:spacing w:after="0" w:line="240" w:lineRule="auto"/>
              <w:rPr>
                <w:rFonts w:asciiTheme="majorHAnsi" w:eastAsia="Times New Roman" w:hAnsiTheme="majorHAnsi" w:cstheme="majorHAnsi"/>
                <w:color w:val="000000"/>
                <w:sz w:val="24"/>
                <w:szCs w:val="24"/>
                <w:lang w:val="el-GR" w:eastAsia="de-DE"/>
              </w:rPr>
            </w:pPr>
            <w:r w:rsidRPr="00E855BC">
              <w:rPr>
                <w:rFonts w:asciiTheme="majorHAnsi" w:eastAsia="Times New Roman" w:hAnsiTheme="majorHAnsi" w:cstheme="majorHAnsi"/>
                <w:color w:val="000000"/>
                <w:sz w:val="24"/>
                <w:szCs w:val="24"/>
                <w:lang w:val="el-GR" w:eastAsia="de-DE"/>
              </w:rPr>
              <w:t>Άτομα με αναπηρία</w:t>
            </w:r>
          </w:p>
        </w:tc>
        <w:tc>
          <w:tcPr>
            <w:tcW w:w="1473" w:type="dxa"/>
            <w:shd w:val="clear" w:color="auto" w:fill="auto"/>
            <w:noWrap/>
          </w:tcPr>
          <w:p w14:paraId="4AA801A2" w14:textId="77777777" w:rsidR="007D51AE" w:rsidRPr="00E855BC" w:rsidRDefault="00000000">
            <w:pPr>
              <w:spacing w:after="0" w:line="240" w:lineRule="auto"/>
              <w:jc w:val="right"/>
              <w:rPr>
                <w:rFonts w:asciiTheme="majorHAnsi" w:eastAsia="Times New Roman" w:hAnsiTheme="majorHAnsi" w:cstheme="majorHAnsi"/>
                <w:color w:val="000000"/>
                <w:sz w:val="24"/>
                <w:szCs w:val="24"/>
                <w:lang w:val="el-GR" w:eastAsia="de-DE"/>
              </w:rPr>
            </w:pPr>
            <w:r w:rsidRPr="00E855BC">
              <w:rPr>
                <w:rFonts w:asciiTheme="majorHAnsi" w:eastAsia="Times New Roman" w:hAnsiTheme="majorHAnsi" w:cstheme="majorHAnsi"/>
                <w:color w:val="000000"/>
                <w:sz w:val="24"/>
                <w:szCs w:val="24"/>
                <w:lang w:val="el-GR" w:eastAsia="de-DE"/>
              </w:rPr>
              <w:t>1.054.735</w:t>
            </w:r>
          </w:p>
        </w:tc>
        <w:tc>
          <w:tcPr>
            <w:tcW w:w="1077" w:type="dxa"/>
            <w:shd w:val="clear" w:color="auto" w:fill="auto"/>
            <w:noWrap/>
          </w:tcPr>
          <w:p w14:paraId="2A53753A" w14:textId="77777777" w:rsidR="007D51AE" w:rsidRPr="00E855BC" w:rsidRDefault="00000000">
            <w:pPr>
              <w:spacing w:after="0" w:line="240" w:lineRule="auto"/>
              <w:jc w:val="right"/>
              <w:rPr>
                <w:rFonts w:asciiTheme="majorHAnsi" w:eastAsia="Times New Roman" w:hAnsiTheme="majorHAnsi" w:cstheme="majorHAnsi"/>
                <w:color w:val="000000"/>
                <w:sz w:val="24"/>
                <w:szCs w:val="24"/>
                <w:lang w:val="el-GR" w:eastAsia="de-DE"/>
              </w:rPr>
            </w:pPr>
            <w:r w:rsidRPr="00E855BC">
              <w:rPr>
                <w:rFonts w:asciiTheme="majorHAnsi" w:eastAsia="Times New Roman" w:hAnsiTheme="majorHAnsi" w:cstheme="majorHAnsi"/>
                <w:color w:val="000000"/>
                <w:sz w:val="24"/>
                <w:szCs w:val="24"/>
                <w:lang w:val="el-GR" w:eastAsia="de-DE"/>
              </w:rPr>
              <w:t>10</w:t>
            </w:r>
          </w:p>
        </w:tc>
      </w:tr>
      <w:tr w:rsidR="007D51AE" w14:paraId="471FC571" w14:textId="77777777" w:rsidTr="00E855BC">
        <w:trPr>
          <w:trHeight w:val="332"/>
          <w:jc w:val="center"/>
        </w:trPr>
        <w:tc>
          <w:tcPr>
            <w:tcW w:w="5189" w:type="dxa"/>
            <w:shd w:val="clear" w:color="auto" w:fill="auto"/>
            <w:noWrap/>
          </w:tcPr>
          <w:p w14:paraId="44282C34" w14:textId="77777777" w:rsidR="007D51AE" w:rsidRPr="00E855BC" w:rsidRDefault="00000000">
            <w:pPr>
              <w:spacing w:after="0" w:line="240" w:lineRule="auto"/>
              <w:rPr>
                <w:rFonts w:asciiTheme="majorHAnsi" w:eastAsia="Times New Roman" w:hAnsiTheme="majorHAnsi" w:cstheme="majorHAnsi"/>
                <w:color w:val="000000"/>
                <w:sz w:val="24"/>
                <w:szCs w:val="24"/>
                <w:lang w:val="el-GR" w:eastAsia="de-DE"/>
              </w:rPr>
            </w:pPr>
            <w:r w:rsidRPr="00E855BC">
              <w:rPr>
                <w:rFonts w:asciiTheme="majorHAnsi" w:eastAsia="Times New Roman" w:hAnsiTheme="majorHAnsi" w:cstheme="majorHAnsi"/>
                <w:color w:val="000000"/>
                <w:sz w:val="24"/>
                <w:szCs w:val="24"/>
                <w:lang w:val="el-GR" w:eastAsia="de-DE"/>
              </w:rPr>
              <w:t xml:space="preserve">Άτομα χωρίς αναπηρία </w:t>
            </w:r>
          </w:p>
        </w:tc>
        <w:tc>
          <w:tcPr>
            <w:tcW w:w="1473" w:type="dxa"/>
            <w:shd w:val="clear" w:color="auto" w:fill="auto"/>
            <w:noWrap/>
          </w:tcPr>
          <w:p w14:paraId="54349125" w14:textId="77777777" w:rsidR="007D51AE" w:rsidRPr="00E855BC" w:rsidRDefault="00000000">
            <w:pPr>
              <w:spacing w:after="0" w:line="240" w:lineRule="auto"/>
              <w:jc w:val="right"/>
              <w:rPr>
                <w:rFonts w:asciiTheme="majorHAnsi" w:eastAsia="Times New Roman" w:hAnsiTheme="majorHAnsi" w:cstheme="majorHAnsi"/>
                <w:color w:val="000000"/>
                <w:sz w:val="24"/>
                <w:szCs w:val="24"/>
                <w:lang w:val="el-GR" w:eastAsia="de-DE"/>
              </w:rPr>
            </w:pPr>
            <w:r w:rsidRPr="00E855BC">
              <w:rPr>
                <w:rFonts w:asciiTheme="majorHAnsi" w:eastAsia="Times New Roman" w:hAnsiTheme="majorHAnsi" w:cstheme="majorHAnsi"/>
                <w:color w:val="000000"/>
                <w:sz w:val="24"/>
                <w:szCs w:val="24"/>
                <w:lang w:val="el-GR" w:eastAsia="de-DE"/>
              </w:rPr>
              <w:t>9.442.632</w:t>
            </w:r>
          </w:p>
        </w:tc>
        <w:tc>
          <w:tcPr>
            <w:tcW w:w="1077" w:type="dxa"/>
            <w:shd w:val="clear" w:color="auto" w:fill="auto"/>
            <w:noWrap/>
          </w:tcPr>
          <w:p w14:paraId="7FB11280" w14:textId="77777777" w:rsidR="007D51AE" w:rsidRPr="00E855BC" w:rsidRDefault="00000000">
            <w:pPr>
              <w:spacing w:after="0" w:line="240" w:lineRule="auto"/>
              <w:jc w:val="right"/>
              <w:rPr>
                <w:rFonts w:asciiTheme="majorHAnsi" w:eastAsia="Times New Roman" w:hAnsiTheme="majorHAnsi" w:cstheme="majorHAnsi"/>
                <w:color w:val="000000"/>
                <w:sz w:val="24"/>
                <w:szCs w:val="24"/>
                <w:lang w:val="el-GR" w:eastAsia="de-DE"/>
              </w:rPr>
            </w:pPr>
            <w:r w:rsidRPr="00E855BC">
              <w:rPr>
                <w:rFonts w:asciiTheme="majorHAnsi" w:eastAsia="Times New Roman" w:hAnsiTheme="majorHAnsi" w:cstheme="majorHAnsi"/>
                <w:color w:val="000000"/>
                <w:sz w:val="24"/>
                <w:szCs w:val="24"/>
                <w:lang w:val="el-GR" w:eastAsia="de-DE"/>
              </w:rPr>
              <w:t>90</w:t>
            </w:r>
          </w:p>
        </w:tc>
      </w:tr>
      <w:tr w:rsidR="007D51AE" w14:paraId="2F25DA96" w14:textId="77777777" w:rsidTr="00E855BC">
        <w:trPr>
          <w:trHeight w:val="332"/>
          <w:jc w:val="center"/>
        </w:trPr>
        <w:tc>
          <w:tcPr>
            <w:tcW w:w="5189" w:type="dxa"/>
            <w:shd w:val="clear" w:color="auto" w:fill="auto"/>
          </w:tcPr>
          <w:p w14:paraId="28E64D27" w14:textId="77777777" w:rsidR="007D51AE" w:rsidRPr="00E855BC" w:rsidRDefault="00000000">
            <w:pPr>
              <w:spacing w:after="0" w:line="240" w:lineRule="auto"/>
              <w:rPr>
                <w:rFonts w:asciiTheme="majorHAnsi" w:eastAsia="Times New Roman" w:hAnsiTheme="majorHAnsi" w:cstheme="majorHAnsi"/>
                <w:b/>
                <w:bCs/>
                <w:color w:val="000000"/>
                <w:sz w:val="24"/>
                <w:szCs w:val="24"/>
                <w:lang w:val="el-GR" w:eastAsia="de-DE"/>
              </w:rPr>
            </w:pPr>
            <w:r w:rsidRPr="00E855BC">
              <w:rPr>
                <w:rFonts w:asciiTheme="majorHAnsi" w:eastAsia="Times New Roman" w:hAnsiTheme="majorHAnsi" w:cstheme="majorHAnsi"/>
                <w:b/>
                <w:bCs/>
                <w:color w:val="000000"/>
                <w:sz w:val="24"/>
                <w:szCs w:val="24"/>
                <w:lang w:val="el-GR" w:eastAsia="de-DE"/>
              </w:rPr>
              <w:t>Σύνολο πληθυσμού</w:t>
            </w:r>
          </w:p>
        </w:tc>
        <w:tc>
          <w:tcPr>
            <w:tcW w:w="1473" w:type="dxa"/>
            <w:shd w:val="clear" w:color="auto" w:fill="auto"/>
            <w:noWrap/>
          </w:tcPr>
          <w:p w14:paraId="262AA77D" w14:textId="77777777" w:rsidR="007D51AE" w:rsidRPr="00E855BC" w:rsidRDefault="00000000">
            <w:pPr>
              <w:spacing w:after="0" w:line="240" w:lineRule="auto"/>
              <w:jc w:val="right"/>
              <w:rPr>
                <w:rFonts w:asciiTheme="majorHAnsi" w:eastAsia="Times New Roman" w:hAnsiTheme="majorHAnsi" w:cstheme="majorHAnsi"/>
                <w:b/>
                <w:bCs/>
                <w:color w:val="000000"/>
                <w:sz w:val="24"/>
                <w:szCs w:val="24"/>
                <w:lang w:val="el-GR" w:eastAsia="de-DE"/>
              </w:rPr>
            </w:pPr>
            <w:r w:rsidRPr="00E855BC">
              <w:rPr>
                <w:rFonts w:asciiTheme="majorHAnsi" w:eastAsia="Times New Roman" w:hAnsiTheme="majorHAnsi" w:cstheme="majorHAnsi"/>
                <w:b/>
                <w:bCs/>
                <w:color w:val="000000"/>
                <w:sz w:val="24"/>
                <w:szCs w:val="24"/>
                <w:lang w:val="el-GR" w:eastAsia="de-DE"/>
              </w:rPr>
              <w:t>10.497.367</w:t>
            </w:r>
          </w:p>
        </w:tc>
        <w:tc>
          <w:tcPr>
            <w:tcW w:w="1077" w:type="dxa"/>
            <w:shd w:val="clear" w:color="auto" w:fill="auto"/>
            <w:noWrap/>
          </w:tcPr>
          <w:p w14:paraId="4D68237A" w14:textId="77777777" w:rsidR="007D51AE" w:rsidRPr="00E855BC" w:rsidRDefault="00000000">
            <w:pPr>
              <w:spacing w:after="0" w:line="240" w:lineRule="auto"/>
              <w:jc w:val="right"/>
              <w:rPr>
                <w:rFonts w:asciiTheme="majorHAnsi" w:eastAsia="Times New Roman" w:hAnsiTheme="majorHAnsi" w:cstheme="majorHAnsi"/>
                <w:b/>
                <w:bCs/>
                <w:color w:val="000000"/>
                <w:sz w:val="24"/>
                <w:szCs w:val="24"/>
                <w:lang w:val="el-GR" w:eastAsia="de-DE"/>
              </w:rPr>
            </w:pPr>
            <w:r w:rsidRPr="00E855BC">
              <w:rPr>
                <w:rFonts w:asciiTheme="majorHAnsi" w:eastAsia="Times New Roman" w:hAnsiTheme="majorHAnsi" w:cstheme="majorHAnsi"/>
                <w:b/>
                <w:bCs/>
                <w:color w:val="000000"/>
                <w:sz w:val="24"/>
                <w:szCs w:val="24"/>
                <w:lang w:val="el-GR" w:eastAsia="de-DE"/>
              </w:rPr>
              <w:t>100</w:t>
            </w:r>
          </w:p>
        </w:tc>
      </w:tr>
    </w:tbl>
    <w:p w14:paraId="4DB02EFD" w14:textId="77777777" w:rsidR="007D51AE" w:rsidRDefault="00000000" w:rsidP="00E855BC">
      <w:pPr>
        <w:spacing w:before="240"/>
        <w:jc w:val="both"/>
        <w:rPr>
          <w:sz w:val="24"/>
          <w:szCs w:val="24"/>
          <w:lang w:val="el-GR"/>
        </w:rPr>
      </w:pPr>
      <w:r>
        <w:rPr>
          <w:sz w:val="24"/>
          <w:szCs w:val="24"/>
          <w:lang w:val="el-GR"/>
        </w:rPr>
        <w:t xml:space="preserve">Η σημαντικά διαφορετική από τον γενικό πληθυσμό ηλικιακή σύνθεση της κατηγορίας των ατόμων με αναπηρία, αποτυπώνεται στο γράφημα 1, με την πλειονότητα των ατόμων με αναπηρία (78%) να κατατάσσονται σε ηλικίες από 65 ετών και άνω. Πιο αναλυτικά στην ηλικία από 65 ετών και άνω υπολογίστηκε ότι τα άτομα με αναπηρία ανέρχονται σε 823.312, αποτελώντας το 34,2% του συνολικού πληθυσμού (με και χωρίς αναπηρία) σε αυτό το ηλικιακό φάσμα. </w:t>
      </w:r>
    </w:p>
    <w:p w14:paraId="7B077540" w14:textId="636E1A0F" w:rsidR="007D51AE" w:rsidRDefault="00000000">
      <w:pPr>
        <w:jc w:val="both"/>
        <w:rPr>
          <w:sz w:val="24"/>
          <w:szCs w:val="24"/>
          <w:lang w:val="el-GR"/>
        </w:rPr>
      </w:pPr>
      <w:r>
        <w:rPr>
          <w:sz w:val="24"/>
          <w:szCs w:val="24"/>
          <w:lang w:val="el-GR"/>
        </w:rPr>
        <w:t>Στην μέση ηλικία από 45-64 ετών, το 5,6% του πληθυσμού αντιμετωπίζει κάποιας μορφής αναπηρία, δηλαδή βάσει της στατιστικής εκτίμησης πρόκειται για 168.815 άτομα.</w:t>
      </w:r>
    </w:p>
    <w:p w14:paraId="682A142E" w14:textId="013CAD51" w:rsidR="007D51AE" w:rsidRDefault="00000000">
      <w:pPr>
        <w:jc w:val="both"/>
        <w:rPr>
          <w:sz w:val="24"/>
          <w:szCs w:val="24"/>
          <w:lang w:val="el-GR"/>
        </w:rPr>
      </w:pPr>
      <w:r>
        <w:rPr>
          <w:sz w:val="24"/>
          <w:szCs w:val="24"/>
          <w:lang w:val="el-GR"/>
        </w:rPr>
        <w:t>Στην ομάδα 15-44 που αντιπροσωπεύει τους νέους και τους ενήλικες που βρίσκονται στην πρώτη φάση της ενήλικης ζωής, το 1,2% αναφέρει κάποια αναπηρία, δηλαδή περίπου 62.608 άτομα.</w:t>
      </w:r>
    </w:p>
    <w:p w14:paraId="6CAE9951" w14:textId="77777777" w:rsidR="00E855BC" w:rsidRDefault="00E855BC">
      <w:pPr>
        <w:jc w:val="both"/>
        <w:rPr>
          <w:sz w:val="24"/>
          <w:szCs w:val="24"/>
          <w:lang w:val="el-GR"/>
        </w:rPr>
      </w:pPr>
    </w:p>
    <w:p w14:paraId="31551356" w14:textId="040E48B9" w:rsidR="007D51AE" w:rsidRDefault="00000000" w:rsidP="00E855BC">
      <w:pPr>
        <w:pStyle w:val="a4"/>
        <w:keepNext/>
        <w:jc w:val="center"/>
        <w:rPr>
          <w:lang w:val="el-GR" w:eastAsia="de-DE"/>
        </w:rPr>
      </w:pPr>
      <w:bookmarkStart w:id="7" w:name="_Toc145080444"/>
      <w:r>
        <w:rPr>
          <w:rFonts w:asciiTheme="majorHAnsi" w:eastAsia="Times New Roman" w:hAnsiTheme="majorHAnsi" w:cstheme="majorHAnsi"/>
          <w:b/>
          <w:bCs/>
          <w:color w:val="2F5496" w:themeColor="accent1" w:themeShade="BF"/>
          <w:sz w:val="26"/>
          <w:szCs w:val="26"/>
          <w:lang w:val="el-GR" w:eastAsia="de-DE"/>
        </w:rPr>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sidR="00436DBE">
        <w:rPr>
          <w:rFonts w:asciiTheme="majorHAnsi" w:eastAsia="Times New Roman" w:hAnsiTheme="majorHAnsi" w:cstheme="majorHAnsi"/>
          <w:b/>
          <w:bCs/>
          <w:noProof/>
          <w:color w:val="2F5496" w:themeColor="accent1" w:themeShade="BF"/>
          <w:sz w:val="26"/>
          <w:szCs w:val="26"/>
          <w:lang w:eastAsia="de-DE"/>
        </w:rPr>
        <w:t>1</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Πλήθος ατόμων με αναπηρία κατά ομάδα ηλικίας (ΕΕΔ, 2022)</w:t>
      </w:r>
      <w:bookmarkEnd w:id="7"/>
    </w:p>
    <w:p w14:paraId="27D38FED" w14:textId="77777777" w:rsidR="007D51AE" w:rsidRDefault="00000000" w:rsidP="00E855BC">
      <w:pPr>
        <w:keepNext/>
        <w:jc w:val="center"/>
      </w:pPr>
      <w:r>
        <w:rPr>
          <w:noProof/>
        </w:rPr>
        <w:drawing>
          <wp:inline distT="0" distB="0" distL="0" distR="0" wp14:anchorId="074E3387" wp14:editId="1DA42049">
            <wp:extent cx="5149850" cy="2910840"/>
            <wp:effectExtent l="0" t="0" r="0" b="3810"/>
            <wp:docPr id="1316446808" name="Γράφημα 1" descr="15-44: 62.608&#10;45-64: 168.815&#10;65 και άνω: 823.31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454E16" w14:textId="77777777" w:rsidR="007D51AE" w:rsidRDefault="007D51AE"/>
    <w:p w14:paraId="4FD19DC6" w14:textId="77777777" w:rsidR="007D51AE" w:rsidRDefault="00000000">
      <w:pPr>
        <w:jc w:val="both"/>
        <w:rPr>
          <w:sz w:val="24"/>
          <w:szCs w:val="24"/>
          <w:lang w:val="el-GR"/>
        </w:rPr>
      </w:pPr>
      <w:r>
        <w:rPr>
          <w:sz w:val="24"/>
          <w:szCs w:val="24"/>
          <w:lang w:val="el-GR"/>
        </w:rPr>
        <w:t>Αναφορικά με την κατανομή των ατόμων με αναπηρία ανά φύλο, επιβεβαιώνεται και από τα στοιχεία της Έρευνας Εργατικού Δυναμικού η ελαφριά υπεροχή του γυναικείου φύλου στον πληθυσμό με αναπηρία 15+ ετών, με τις γυναίκες να αποτελούν το 58%.</w:t>
      </w:r>
    </w:p>
    <w:p w14:paraId="379E9178" w14:textId="77777777" w:rsidR="007D51AE" w:rsidRDefault="007D51AE">
      <w:pPr>
        <w:rPr>
          <w:lang w:val="el-GR"/>
        </w:rPr>
      </w:pPr>
    </w:p>
    <w:p w14:paraId="709BFA9C" w14:textId="51FD33FE" w:rsidR="007D51AE" w:rsidRDefault="00000000" w:rsidP="009E27DC">
      <w:pPr>
        <w:pStyle w:val="a4"/>
        <w:keepNext/>
        <w:jc w:val="center"/>
        <w:rPr>
          <w:rFonts w:asciiTheme="majorHAnsi" w:eastAsia="Times New Roman" w:hAnsiTheme="majorHAnsi" w:cstheme="majorHAnsi"/>
          <w:b/>
          <w:bCs/>
          <w:color w:val="2F5496" w:themeColor="accent1" w:themeShade="BF"/>
          <w:sz w:val="26"/>
          <w:szCs w:val="26"/>
          <w:lang w:val="el-GR" w:eastAsia="de-DE"/>
        </w:rPr>
      </w:pPr>
      <w:bookmarkStart w:id="8" w:name="_Toc145080445"/>
      <w:r>
        <w:rPr>
          <w:rFonts w:asciiTheme="majorHAnsi" w:eastAsia="Times New Roman" w:hAnsiTheme="majorHAnsi" w:cstheme="majorHAnsi"/>
          <w:b/>
          <w:bCs/>
          <w:color w:val="2F5496" w:themeColor="accent1" w:themeShade="BF"/>
          <w:sz w:val="26"/>
          <w:szCs w:val="26"/>
          <w:lang w:val="el-GR" w:eastAsia="de-DE"/>
        </w:rPr>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sidR="00436DBE">
        <w:rPr>
          <w:rFonts w:asciiTheme="majorHAnsi" w:eastAsia="Times New Roman" w:hAnsiTheme="majorHAnsi" w:cstheme="majorHAnsi"/>
          <w:b/>
          <w:bCs/>
          <w:noProof/>
          <w:color w:val="2F5496" w:themeColor="accent1" w:themeShade="BF"/>
          <w:sz w:val="26"/>
          <w:szCs w:val="26"/>
          <w:lang w:eastAsia="de-DE"/>
        </w:rPr>
        <w:t>2</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Άτομα με αναπηρία και κατανομή ανά φύλο (ΕΕΔ,2022)</w:t>
      </w:r>
      <w:bookmarkEnd w:id="8"/>
    </w:p>
    <w:p w14:paraId="2AEA34C0" w14:textId="1B3E9804" w:rsidR="007D51AE" w:rsidRPr="009E27DC" w:rsidRDefault="009E27DC" w:rsidP="009E27DC">
      <w:pPr>
        <w:jc w:val="center"/>
        <w:rPr>
          <w:lang w:val="el-GR"/>
        </w:rPr>
      </w:pPr>
      <w:r>
        <w:rPr>
          <w:noProof/>
        </w:rPr>
        <w:drawing>
          <wp:inline distT="0" distB="0" distL="0" distR="0" wp14:anchorId="4B5A86E0" wp14:editId="584C7163">
            <wp:extent cx="4443095" cy="2438400"/>
            <wp:effectExtent l="0" t="0" r="0" b="0"/>
            <wp:docPr id="1596903007" name="Γράφημα 1" descr="Άνδρες: 42%&#10;Γυναίκες: 58%">
              <a:extLst xmlns:a="http://schemas.openxmlformats.org/drawingml/2006/main">
                <a:ext uri="{FF2B5EF4-FFF2-40B4-BE49-F238E27FC236}">
                  <a16:creationId xmlns:a16="http://schemas.microsoft.com/office/drawing/2014/main" id="{E841522F-F2A6-79CF-6CF7-6254097B4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9463605" w14:textId="77777777" w:rsidR="007D51AE" w:rsidRDefault="00000000">
      <w:pPr>
        <w:pStyle w:val="2"/>
        <w:tabs>
          <w:tab w:val="left" w:pos="360"/>
        </w:tabs>
        <w:spacing w:before="360" w:after="240"/>
        <w:ind w:left="426" w:right="-142" w:hanging="578"/>
      </w:pPr>
      <w:bookmarkStart w:id="9" w:name="_Toc145080424"/>
      <w:r>
        <w:lastRenderedPageBreak/>
        <w:t>Δείκτης συμμετοχής στο εργατικό δυναμικό</w:t>
      </w:r>
      <w:bookmarkEnd w:id="9"/>
      <w:r>
        <w:t xml:space="preserve"> </w:t>
      </w:r>
    </w:p>
    <w:p w14:paraId="65930F31" w14:textId="2410E18A" w:rsidR="007D51AE" w:rsidRDefault="00000000">
      <w:pPr>
        <w:jc w:val="both"/>
        <w:rPr>
          <w:sz w:val="24"/>
          <w:szCs w:val="24"/>
          <w:lang w:val="el-GR"/>
        </w:rPr>
      </w:pPr>
      <w:r>
        <w:rPr>
          <w:sz w:val="24"/>
          <w:szCs w:val="24"/>
          <w:lang w:val="el-GR"/>
        </w:rPr>
        <w:t>Ο δείκτης συμμετοχής στο εργατικό δυναμικό αποτυπώνει το ποσοστό των ατόμων εργάσιμης ηλικίας που ανήκουν στον οικονομικά ενεργό πληθυσμό, είτε με την ιδιότητα των απασχολούμενων είτε με την ιδιότητα των ανέργων.</w:t>
      </w:r>
    </w:p>
    <w:p w14:paraId="55BABF8A" w14:textId="72C5A9D2" w:rsidR="007D51AE" w:rsidRDefault="00000000" w:rsidP="009E27DC">
      <w:pPr>
        <w:jc w:val="both"/>
        <w:rPr>
          <w:sz w:val="24"/>
          <w:szCs w:val="24"/>
          <w:lang w:val="el-GR"/>
        </w:rPr>
      </w:pPr>
      <w:r>
        <w:rPr>
          <w:sz w:val="24"/>
          <w:szCs w:val="24"/>
          <w:lang w:val="el-GR"/>
        </w:rPr>
        <w:t>Για τα άτομα με αναπηρία, ο δείκτης αποκτάει πρόσθετη σημασία καθώς μεγάλο μέρος αυτού του πληθυσμού δεν εντάσσεται στον οικονομικά ενεργό πληθυσμό.</w:t>
      </w:r>
    </w:p>
    <w:p w14:paraId="20076464" w14:textId="36A9358A" w:rsidR="007D51AE" w:rsidRDefault="00000000" w:rsidP="009E27DC">
      <w:pPr>
        <w:jc w:val="both"/>
        <w:rPr>
          <w:sz w:val="24"/>
          <w:szCs w:val="24"/>
          <w:lang w:val="el-GR"/>
        </w:rPr>
      </w:pPr>
      <w:r>
        <w:rPr>
          <w:sz w:val="24"/>
          <w:szCs w:val="24"/>
          <w:lang w:val="el-GR"/>
        </w:rPr>
        <w:t xml:space="preserve">Υπολογίζοντας τον δείκτη συμμετοχής </w:t>
      </w:r>
      <w:bookmarkStart w:id="10" w:name="_Hlk145060620"/>
      <w:r>
        <w:rPr>
          <w:sz w:val="24"/>
          <w:szCs w:val="24"/>
          <w:lang w:val="el-GR"/>
        </w:rPr>
        <w:t>στο εργατικό δυναμικό στις κατεξοχήν παραγωγικές ηλικίες 20-64 ετών (Για την επιλογή του ηλικιακού εύρους βλ. ενότητα 2 του παραρτήματος «Μεθοδολογικές σημειώσεις»), το</w:t>
      </w:r>
      <w:r>
        <w:rPr>
          <w:b/>
          <w:bCs/>
          <w:sz w:val="24"/>
          <w:szCs w:val="24"/>
          <w:lang w:val="el-GR"/>
        </w:rPr>
        <w:t xml:space="preserve"> </w:t>
      </w:r>
      <w:r>
        <w:rPr>
          <w:sz w:val="24"/>
          <w:szCs w:val="24"/>
          <w:lang w:val="el-GR"/>
        </w:rPr>
        <w:t>ποσοστό των ατόμων με αναπηρία που μετέχουν στον ενεργό πληθυσμό βρέθηκε να είναι στο ιδιαίτερα χαμηλό ποσοστό του 23,7%</w:t>
      </w:r>
      <w:bookmarkEnd w:id="10"/>
      <w:r>
        <w:rPr>
          <w:sz w:val="24"/>
          <w:szCs w:val="24"/>
          <w:lang w:val="el-GR"/>
        </w:rPr>
        <w:t xml:space="preserve"> (54.237 άτομα), έναντι ποσοστού</w:t>
      </w:r>
      <w:r w:rsidR="00B44236">
        <w:rPr>
          <w:sz w:val="24"/>
          <w:szCs w:val="24"/>
          <w:lang w:val="el-GR"/>
        </w:rPr>
        <w:t xml:space="preserve"> </w:t>
      </w:r>
      <w:r>
        <w:rPr>
          <w:sz w:val="24"/>
          <w:szCs w:val="24"/>
          <w:lang w:val="el-GR"/>
        </w:rPr>
        <w:t>77,7% του πληθυσμού χωρίς αναπηρία.</w:t>
      </w:r>
    </w:p>
    <w:p w14:paraId="4EC553E7" w14:textId="77777777" w:rsidR="009E27DC" w:rsidRDefault="009E27DC" w:rsidP="009E27DC">
      <w:pPr>
        <w:jc w:val="both"/>
        <w:rPr>
          <w:sz w:val="24"/>
          <w:szCs w:val="24"/>
          <w:lang w:val="el-GR"/>
        </w:rPr>
      </w:pPr>
    </w:p>
    <w:p w14:paraId="4800BA0F" w14:textId="159CDB18" w:rsidR="007D51AE" w:rsidRDefault="00000000" w:rsidP="009E27DC">
      <w:pPr>
        <w:pStyle w:val="a4"/>
        <w:keepNext/>
        <w:jc w:val="center"/>
        <w:rPr>
          <w:rFonts w:asciiTheme="majorHAnsi" w:eastAsia="Times New Roman" w:hAnsiTheme="majorHAnsi" w:cstheme="majorHAnsi"/>
          <w:b/>
          <w:bCs/>
          <w:color w:val="2F5496" w:themeColor="accent1" w:themeShade="BF"/>
          <w:sz w:val="26"/>
          <w:szCs w:val="26"/>
          <w:lang w:val="el-GR" w:eastAsia="de-DE"/>
        </w:rPr>
      </w:pPr>
      <w:bookmarkStart w:id="11" w:name="_Toc145080446"/>
      <w:r>
        <w:rPr>
          <w:rFonts w:asciiTheme="majorHAnsi" w:eastAsia="Times New Roman" w:hAnsiTheme="majorHAnsi" w:cstheme="majorHAnsi"/>
          <w:b/>
          <w:bCs/>
          <w:color w:val="2F5496" w:themeColor="accent1" w:themeShade="BF"/>
          <w:sz w:val="26"/>
          <w:szCs w:val="26"/>
          <w:lang w:val="el-GR" w:eastAsia="de-DE"/>
        </w:rPr>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sidR="00436DBE">
        <w:rPr>
          <w:rFonts w:asciiTheme="majorHAnsi" w:eastAsia="Times New Roman" w:hAnsiTheme="majorHAnsi" w:cstheme="majorHAnsi"/>
          <w:b/>
          <w:bCs/>
          <w:noProof/>
          <w:color w:val="2F5496" w:themeColor="accent1" w:themeShade="BF"/>
          <w:sz w:val="26"/>
          <w:szCs w:val="26"/>
          <w:lang w:eastAsia="de-DE"/>
        </w:rPr>
        <w:t>3</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Δείκτης συμμετοχής στο εργατικό δυναμικό (οικονομικά ενεργός πληθυσμός) στα άτομα ηλικίας 20-64 ετών και κατάσταση αναπηρίας (ΕΕΔ,2022)</w:t>
      </w:r>
      <w:bookmarkEnd w:id="11"/>
    </w:p>
    <w:p w14:paraId="5EEEA43E" w14:textId="77777777" w:rsidR="007D51AE" w:rsidRDefault="00000000" w:rsidP="009E27DC">
      <w:pPr>
        <w:jc w:val="center"/>
        <w:rPr>
          <w:sz w:val="26"/>
          <w:szCs w:val="26"/>
        </w:rPr>
      </w:pPr>
      <w:r>
        <w:rPr>
          <w:noProof/>
        </w:rPr>
        <w:drawing>
          <wp:inline distT="0" distB="0" distL="0" distR="0" wp14:anchorId="27DC6D9D" wp14:editId="75495CAF">
            <wp:extent cx="5057775" cy="3333115"/>
            <wp:effectExtent l="0" t="0" r="0" b="635"/>
            <wp:docPr id="372263803" name="Γράφημα 1" descr="Με αναπηρία: 23,8%&#10;Χωρίς αναπηρία: 77,7%&#10;Σύνολο: 7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1FD3B7" w14:textId="77777777" w:rsidR="007D51AE" w:rsidRDefault="007D51AE">
      <w:pPr>
        <w:jc w:val="both"/>
        <w:rPr>
          <w:sz w:val="26"/>
          <w:szCs w:val="26"/>
        </w:rPr>
      </w:pPr>
    </w:p>
    <w:p w14:paraId="16A0F0FD" w14:textId="77777777" w:rsidR="007D51AE" w:rsidRDefault="00000000">
      <w:pPr>
        <w:pStyle w:val="2"/>
        <w:tabs>
          <w:tab w:val="left" w:pos="360"/>
        </w:tabs>
        <w:spacing w:before="360" w:after="240"/>
        <w:ind w:left="426" w:right="-142" w:hanging="578"/>
      </w:pPr>
      <w:bookmarkStart w:id="12" w:name="_Toc145080425"/>
      <w:r>
        <w:lastRenderedPageBreak/>
        <w:t>Δείκτες Απασχόλησης και ανεργίας</w:t>
      </w:r>
      <w:bookmarkEnd w:id="12"/>
    </w:p>
    <w:p w14:paraId="3749D76D" w14:textId="77777777" w:rsidR="007D51AE" w:rsidRDefault="00000000">
      <w:pPr>
        <w:jc w:val="both"/>
        <w:rPr>
          <w:sz w:val="24"/>
          <w:szCs w:val="24"/>
          <w:lang w:val="el-GR"/>
        </w:rPr>
      </w:pPr>
      <w:r>
        <w:rPr>
          <w:sz w:val="24"/>
          <w:szCs w:val="24"/>
          <w:lang w:val="el-GR"/>
        </w:rPr>
        <w:t xml:space="preserve">Ο δείκτης απασχόλησης, ως το ποσοστό των απασχολούμενων ατόμων στο σύνολο του πληθυσμού εργάσιμης ηλικίας είναι επίσης αντιπροσωπευτικός ως προς το δικαίωμα των ατόμων με αναπηρία για πρόσβαση </w:t>
      </w:r>
      <w:r>
        <w:rPr>
          <w:rFonts w:cstheme="minorHAnsi"/>
          <w:color w:val="000000"/>
          <w:sz w:val="24"/>
          <w:szCs w:val="24"/>
          <w:lang w:val="el-GR"/>
        </w:rPr>
        <w:t>στην εργασία και την απασχόληση.</w:t>
      </w:r>
    </w:p>
    <w:p w14:paraId="26DA4F4F" w14:textId="0CBF1C3C" w:rsidR="007D51AE" w:rsidRDefault="00000000">
      <w:pPr>
        <w:jc w:val="both"/>
        <w:rPr>
          <w:rFonts w:cstheme="minorHAnsi"/>
          <w:color w:val="000000"/>
          <w:sz w:val="24"/>
          <w:szCs w:val="24"/>
          <w:lang w:val="el-GR"/>
        </w:rPr>
      </w:pPr>
      <w:r>
        <w:rPr>
          <w:rFonts w:cstheme="minorHAnsi"/>
          <w:color w:val="000000"/>
          <w:sz w:val="24"/>
          <w:szCs w:val="24"/>
          <w:lang w:val="el-GR"/>
        </w:rPr>
        <w:t xml:space="preserve">Αναλυτικότερα, </w:t>
      </w:r>
      <w:bookmarkStart w:id="13" w:name="_Hlk145060679"/>
      <w:r>
        <w:rPr>
          <w:rFonts w:cstheme="minorHAnsi"/>
          <w:color w:val="000000"/>
          <w:sz w:val="24"/>
          <w:szCs w:val="24"/>
          <w:lang w:val="el-GR"/>
        </w:rPr>
        <w:t>το ποσοστό των απασχολούμενων ατόμων με σοβαρή αναπηρία (ηλικίας 20-64 ετών) επί του συνόλου των ατόμων με σοβαρή αναπηρία στην ίδια ηλικιακή ομάδα,</w:t>
      </w:r>
      <w:r w:rsidR="00B44236">
        <w:rPr>
          <w:rFonts w:cstheme="minorHAnsi"/>
          <w:color w:val="000000"/>
          <w:sz w:val="24"/>
          <w:szCs w:val="24"/>
          <w:lang w:val="el-GR"/>
        </w:rPr>
        <w:t xml:space="preserve"> </w:t>
      </w:r>
      <w:r>
        <w:rPr>
          <w:rFonts w:cstheme="minorHAnsi"/>
          <w:color w:val="000000"/>
          <w:sz w:val="24"/>
          <w:szCs w:val="24"/>
          <w:lang w:val="el-GR"/>
        </w:rPr>
        <w:t xml:space="preserve">ανέρχεται μόλις στο 18,4% (41. 909 άτομα), </w:t>
      </w:r>
      <w:bookmarkStart w:id="14" w:name="_Hlk145060696"/>
      <w:bookmarkEnd w:id="13"/>
      <w:r>
        <w:rPr>
          <w:rFonts w:cstheme="minorHAnsi"/>
          <w:color w:val="000000"/>
          <w:sz w:val="24"/>
          <w:szCs w:val="24"/>
          <w:lang w:val="el-GR"/>
        </w:rPr>
        <w:t xml:space="preserve">με το χάσμα απασχόλησης να υπολογίζεται στις 50 μονάδες. </w:t>
      </w:r>
    </w:p>
    <w:bookmarkEnd w:id="14"/>
    <w:p w14:paraId="202153F5" w14:textId="77777777" w:rsidR="007D51AE" w:rsidRDefault="007D51AE">
      <w:pPr>
        <w:jc w:val="both"/>
        <w:rPr>
          <w:sz w:val="26"/>
          <w:szCs w:val="26"/>
          <w:lang w:val="el-GR"/>
        </w:rPr>
      </w:pPr>
    </w:p>
    <w:p w14:paraId="399E91B5" w14:textId="10EFEE4C" w:rsidR="007D51AE" w:rsidRDefault="00000000">
      <w:pPr>
        <w:pStyle w:val="a4"/>
        <w:keepNext/>
        <w:tabs>
          <w:tab w:val="left" w:pos="5954"/>
        </w:tabs>
        <w:ind w:right="2210"/>
        <w:rPr>
          <w:rFonts w:asciiTheme="majorHAnsi" w:eastAsia="Times New Roman" w:hAnsiTheme="majorHAnsi" w:cstheme="majorHAnsi"/>
          <w:b/>
          <w:bCs/>
          <w:color w:val="2F5496" w:themeColor="accent1" w:themeShade="BF"/>
          <w:sz w:val="26"/>
          <w:szCs w:val="26"/>
          <w:lang w:val="el-GR" w:eastAsia="de-DE"/>
        </w:rPr>
      </w:pPr>
      <w:bookmarkStart w:id="15" w:name="_Toc145080447"/>
      <w:r>
        <w:rPr>
          <w:rFonts w:asciiTheme="majorHAnsi" w:eastAsia="Times New Roman" w:hAnsiTheme="majorHAnsi" w:cstheme="majorHAnsi"/>
          <w:b/>
          <w:bCs/>
          <w:color w:val="2F5496" w:themeColor="accent1" w:themeShade="BF"/>
          <w:sz w:val="26"/>
          <w:szCs w:val="26"/>
          <w:lang w:val="el-GR" w:eastAsia="de-DE"/>
        </w:rPr>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sidR="00436DBE">
        <w:rPr>
          <w:rFonts w:asciiTheme="majorHAnsi" w:eastAsia="Times New Roman" w:hAnsiTheme="majorHAnsi" w:cstheme="majorHAnsi"/>
          <w:b/>
          <w:bCs/>
          <w:noProof/>
          <w:color w:val="2F5496" w:themeColor="accent1" w:themeShade="BF"/>
          <w:sz w:val="26"/>
          <w:szCs w:val="26"/>
          <w:lang w:eastAsia="de-DE"/>
        </w:rPr>
        <w:t>4</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Δείκτης απασχόλησης και κατάσταση αναπηρίας στην ηλικιακή ομάδα 20-64 ετών (ΕΕΔ,2022)</w:t>
      </w:r>
      <w:bookmarkEnd w:id="15"/>
    </w:p>
    <w:p w14:paraId="13488CF8" w14:textId="39252B08" w:rsidR="007D51AE" w:rsidRDefault="00000000" w:rsidP="00B44236">
      <w:pPr>
        <w:ind w:right="-427"/>
        <w:rPr>
          <w:lang w:eastAsia="de-DE"/>
        </w:rPr>
      </w:pPr>
      <w:r>
        <w:rPr>
          <w:noProof/>
        </w:rPr>
        <w:drawing>
          <wp:inline distT="0" distB="0" distL="0" distR="0" wp14:anchorId="16242EC9" wp14:editId="799C2518">
            <wp:extent cx="3648075" cy="3491589"/>
            <wp:effectExtent l="0" t="0" r="0" b="0"/>
            <wp:docPr id="131554426" name="Γράφημα 1" descr="Με αναπηρία: 18,4%&#10;Χωρίς αναπηρία: 68,2%&#10;Συνολικός πληθυσμός: 6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B44236">
        <w:rPr>
          <w:lang w:eastAsia="de-DE"/>
        </w:rPr>
        <w:t xml:space="preserve"> </w:t>
      </w:r>
      <w:r w:rsidR="00B44236">
        <w:rPr>
          <w:noProof/>
          <w:lang w:eastAsia="de-DE"/>
        </w:rPr>
        <w:drawing>
          <wp:inline distT="0" distB="0" distL="0" distR="0" wp14:anchorId="3015FE5B" wp14:editId="1585E471">
            <wp:extent cx="1850685" cy="3124200"/>
            <wp:effectExtent l="0" t="0" r="0" b="0"/>
            <wp:docPr id="1048810647" name="Εικόνα 1" descr="Το Χάσμα Απασχόλησης (Employment Gap) ατόμων με αναπηρία 20-64 ετών ανέρχεται σε 50 μονάδες.&#10;Ο δείκτης «Χάσμα Απασχόλησης» υπολογίζεται ως η διαφορά του ποσοστού απασχόλησης των ατόμων χωρίς αναπηρία μείον το ποσοστό απασχόλησης του πληθυσμού με αναπηρία και αποτυπώνει την ανισότητα πρόσβασης στην απασχόλησης λόγω της αναπηρία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10647" name="Εικόνα 1" descr="Το Χάσμα Απασχόλησης (Employment Gap) ατόμων με αναπηρία 20-64 ετών ανέρχεται σε 50 μονάδες.&#10;Ο δείκτης «Χάσμα Απασχόλησης» υπολογίζεται ως η διαφορά του ποσοστού απασχόλησης των ατόμων χωρίς αναπηρία μείον το ποσοστό απασχόλησης του πληθυσμού με αναπηρία και αποτυπώνει την ανισότητα πρόσβασης στην απασχόλησης λόγω της αναπηρίας.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3990" cy="3163541"/>
                    </a:xfrm>
                    <a:prstGeom prst="rect">
                      <a:avLst/>
                    </a:prstGeom>
                    <a:noFill/>
                  </pic:spPr>
                </pic:pic>
              </a:graphicData>
            </a:graphic>
          </wp:inline>
        </w:drawing>
      </w:r>
    </w:p>
    <w:p w14:paraId="6154D31E" w14:textId="77777777" w:rsidR="007D51AE" w:rsidRDefault="007D51AE">
      <w:pPr>
        <w:ind w:left="142"/>
        <w:rPr>
          <w:lang w:eastAsia="de-DE"/>
        </w:rPr>
      </w:pPr>
    </w:p>
    <w:p w14:paraId="0E341B9D" w14:textId="7A1CDA76" w:rsidR="007D51AE" w:rsidRDefault="00000000">
      <w:pPr>
        <w:jc w:val="both"/>
        <w:rPr>
          <w:rFonts w:cstheme="minorHAnsi"/>
          <w:color w:val="000000"/>
          <w:sz w:val="24"/>
          <w:szCs w:val="24"/>
          <w:lang w:val="el-GR"/>
        </w:rPr>
      </w:pPr>
      <w:r>
        <w:rPr>
          <w:rFonts w:cstheme="minorHAnsi"/>
          <w:color w:val="000000"/>
          <w:sz w:val="24"/>
          <w:szCs w:val="24"/>
          <w:lang w:val="el-GR"/>
        </w:rPr>
        <w:t>Όπως αναφέρθηκε στην προηγούμενη ενότητα αναφορικά με την σημασία του δείκτη συμμετοχής στο εργατικό δυναμικό, τα καταγεγραμμένα ποσοστά ανεργίας στα άτομα με αναπηρία δεν αποτελούν έγκυρους δείκτες σχετικά με την κατάσταση απασχόλησης των ατόμων με αναπηρία.</w:t>
      </w:r>
    </w:p>
    <w:p w14:paraId="0014173A" w14:textId="42435A78" w:rsidR="007D51AE" w:rsidRDefault="00000000">
      <w:pPr>
        <w:autoSpaceDE w:val="0"/>
        <w:autoSpaceDN w:val="0"/>
        <w:adjustRightInd w:val="0"/>
        <w:spacing w:after="0" w:line="240" w:lineRule="auto"/>
        <w:jc w:val="both"/>
        <w:rPr>
          <w:sz w:val="24"/>
          <w:szCs w:val="24"/>
          <w:lang w:val="el-GR"/>
        </w:rPr>
      </w:pPr>
      <w:r>
        <w:rPr>
          <w:sz w:val="24"/>
          <w:szCs w:val="24"/>
          <w:lang w:val="el-GR"/>
        </w:rPr>
        <w:lastRenderedPageBreak/>
        <w:t>Αναλυτικότερα,</w:t>
      </w:r>
      <w:r w:rsidR="00B44236">
        <w:rPr>
          <w:sz w:val="24"/>
          <w:szCs w:val="24"/>
          <w:lang w:val="el-GR"/>
        </w:rPr>
        <w:t xml:space="preserve"> </w:t>
      </w:r>
      <w:r>
        <w:rPr>
          <w:sz w:val="24"/>
          <w:szCs w:val="24"/>
          <w:lang w:val="el-GR"/>
        </w:rPr>
        <w:t>καθώς ο πληθυσμός των ατόμων με αναπηρία βιώνει εκτεταμένο αποκλεισμό και σοβαρούς φραγμούς στο πεδίο της απασχόλησης, η πλειονότητα των ατόμων με αναπηρία ακόμα και όταν δεν εργάζονται συνήθως, λόγω απογοήτευσης, δεν αναζητούν ενεργά εργασία “</w:t>
      </w:r>
      <w:r>
        <w:rPr>
          <w:sz w:val="24"/>
          <w:szCs w:val="24"/>
        </w:rPr>
        <w:t>discouraged</w:t>
      </w:r>
      <w:r>
        <w:rPr>
          <w:sz w:val="24"/>
          <w:szCs w:val="24"/>
          <w:lang w:val="el-GR"/>
        </w:rPr>
        <w:t xml:space="preserve"> </w:t>
      </w:r>
      <w:r>
        <w:rPr>
          <w:sz w:val="24"/>
          <w:szCs w:val="24"/>
        </w:rPr>
        <w:t>job</w:t>
      </w:r>
      <w:r>
        <w:rPr>
          <w:sz w:val="24"/>
          <w:szCs w:val="24"/>
          <w:lang w:val="el-GR"/>
        </w:rPr>
        <w:t xml:space="preserve"> </w:t>
      </w:r>
      <w:r>
        <w:rPr>
          <w:sz w:val="24"/>
          <w:szCs w:val="24"/>
        </w:rPr>
        <w:t>seekers</w:t>
      </w:r>
      <w:r>
        <w:rPr>
          <w:sz w:val="24"/>
          <w:szCs w:val="24"/>
          <w:lang w:val="el-GR"/>
        </w:rPr>
        <w:t>”. Ωστόσο, αυτή η ιδιάζουσα συνθήκη μη καταγεγραμμένης ανεργίας αποτελεί απόρροια και της άδικης νομοθετικής διάταξης η οποία διακόπτει την λήψη αναπηρικών επιδομάτων σε περίπτωση εργασίας.</w:t>
      </w:r>
    </w:p>
    <w:p w14:paraId="1DCBC099" w14:textId="77777777" w:rsidR="007D51AE" w:rsidRDefault="00000000">
      <w:pPr>
        <w:jc w:val="both"/>
        <w:rPr>
          <w:sz w:val="24"/>
          <w:szCs w:val="24"/>
          <w:lang w:val="el-GR" w:eastAsia="de-DE"/>
        </w:rPr>
      </w:pPr>
      <w:r>
        <w:rPr>
          <w:sz w:val="24"/>
          <w:szCs w:val="24"/>
          <w:lang w:val="el-GR" w:eastAsia="de-DE"/>
        </w:rPr>
        <w:t xml:space="preserve">Απόρροια των παραπάνω στο επίπεδο των στατιστικών μετρήσεων, αποτελεί η σχετικά χαμηλή καταγραφή της ανεργίας η οποία δεν απεικονίζει τον πραγματικό αποκλεισμό των ατόμων με αναπηρία από το πεδίο της απασχόλησης. </w:t>
      </w:r>
    </w:p>
    <w:p w14:paraId="2CA86DB9" w14:textId="77777777" w:rsidR="007D51AE" w:rsidRDefault="00000000">
      <w:pPr>
        <w:jc w:val="both"/>
        <w:rPr>
          <w:sz w:val="24"/>
          <w:szCs w:val="24"/>
          <w:lang w:val="el-GR" w:eastAsia="de-DE"/>
        </w:rPr>
      </w:pPr>
      <w:r>
        <w:rPr>
          <w:sz w:val="24"/>
          <w:szCs w:val="24"/>
          <w:lang w:val="el-GR" w:eastAsia="de-DE"/>
        </w:rPr>
        <w:t>Στην ηλικία 20-64 ετών το ποσοστό των ατόμων με αναπηρία που προσδιορίζονται τυπικά ως άνεργοι ανέρχεται στο 22,7% όντας 10 μονάδες υψηλότερο από το ποσοστό ανεργίας του πληθυσμού χωρίς αναπηρία.</w:t>
      </w:r>
    </w:p>
    <w:p w14:paraId="548625E7" w14:textId="77777777" w:rsidR="007D51AE" w:rsidRDefault="007D51AE">
      <w:pPr>
        <w:rPr>
          <w:lang w:val="el-GR" w:eastAsia="de-DE"/>
        </w:rPr>
      </w:pPr>
    </w:p>
    <w:p w14:paraId="3968E4A3" w14:textId="2996A37A" w:rsidR="007D51AE" w:rsidRDefault="00000000" w:rsidP="009E27DC">
      <w:pPr>
        <w:pStyle w:val="a4"/>
        <w:keepNext/>
        <w:jc w:val="center"/>
        <w:rPr>
          <w:rFonts w:asciiTheme="majorHAnsi" w:eastAsia="Times New Roman" w:hAnsiTheme="majorHAnsi" w:cstheme="majorHAnsi"/>
          <w:b/>
          <w:bCs/>
          <w:color w:val="2F5496" w:themeColor="accent1" w:themeShade="BF"/>
          <w:sz w:val="26"/>
          <w:szCs w:val="26"/>
          <w:lang w:val="el-GR" w:eastAsia="de-DE"/>
        </w:rPr>
      </w:pPr>
      <w:bookmarkStart w:id="16" w:name="_Toc145080448"/>
      <w:r>
        <w:rPr>
          <w:rFonts w:asciiTheme="majorHAnsi" w:eastAsia="Times New Roman" w:hAnsiTheme="majorHAnsi" w:cstheme="majorHAnsi"/>
          <w:b/>
          <w:bCs/>
          <w:color w:val="2F5496" w:themeColor="accent1" w:themeShade="BF"/>
          <w:sz w:val="26"/>
          <w:szCs w:val="26"/>
          <w:lang w:val="el-GR" w:eastAsia="de-DE"/>
        </w:rPr>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sidR="00436DBE">
        <w:rPr>
          <w:rFonts w:asciiTheme="majorHAnsi" w:eastAsia="Times New Roman" w:hAnsiTheme="majorHAnsi" w:cstheme="majorHAnsi"/>
          <w:b/>
          <w:bCs/>
          <w:noProof/>
          <w:color w:val="2F5496" w:themeColor="accent1" w:themeShade="BF"/>
          <w:sz w:val="26"/>
          <w:szCs w:val="26"/>
          <w:lang w:eastAsia="de-DE"/>
        </w:rPr>
        <w:t>5</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xml:space="preserve">: Δείκτης ανεργίας και κατάσταση αναπηρίας στην </w:t>
      </w:r>
      <w:r w:rsidR="009E27DC">
        <w:rPr>
          <w:rFonts w:asciiTheme="majorHAnsi" w:eastAsia="Times New Roman" w:hAnsiTheme="majorHAnsi" w:cstheme="majorHAnsi"/>
          <w:b/>
          <w:bCs/>
          <w:color w:val="2F5496" w:themeColor="accent1" w:themeShade="BF"/>
          <w:sz w:val="26"/>
          <w:szCs w:val="26"/>
          <w:lang w:val="el-GR" w:eastAsia="de-DE"/>
        </w:rPr>
        <w:br/>
      </w:r>
      <w:r>
        <w:rPr>
          <w:rFonts w:asciiTheme="majorHAnsi" w:eastAsia="Times New Roman" w:hAnsiTheme="majorHAnsi" w:cstheme="majorHAnsi"/>
          <w:b/>
          <w:bCs/>
          <w:color w:val="2F5496" w:themeColor="accent1" w:themeShade="BF"/>
          <w:sz w:val="26"/>
          <w:szCs w:val="26"/>
          <w:lang w:val="el-GR" w:eastAsia="de-DE"/>
        </w:rPr>
        <w:t>ηλικιακή ομάδα 20-64 ετών (ΕΕΔ,2022)</w:t>
      </w:r>
      <w:bookmarkEnd w:id="16"/>
    </w:p>
    <w:p w14:paraId="08181344" w14:textId="77777777" w:rsidR="007D51AE" w:rsidRDefault="00000000" w:rsidP="009E27DC">
      <w:pPr>
        <w:jc w:val="center"/>
        <w:rPr>
          <w:lang w:eastAsia="de-DE"/>
        </w:rPr>
      </w:pPr>
      <w:r>
        <w:rPr>
          <w:noProof/>
        </w:rPr>
        <w:drawing>
          <wp:inline distT="0" distB="0" distL="0" distR="0" wp14:anchorId="3F8E7DEE" wp14:editId="468FDF8B">
            <wp:extent cx="5046980" cy="3174365"/>
            <wp:effectExtent l="0" t="0" r="1270" b="6985"/>
            <wp:docPr id="1453347483" name="Γράφημα 1" descr="Με αναπηρία: 22,7%&#10;Χωρίς αναπηρία: 12,2%&#10;Συνολικός πληθυσμός: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A7C736" w14:textId="77777777" w:rsidR="007D51AE" w:rsidRDefault="007D51AE">
      <w:pPr>
        <w:rPr>
          <w:lang w:eastAsia="de-DE"/>
        </w:rPr>
      </w:pPr>
    </w:p>
    <w:p w14:paraId="71521DC8" w14:textId="77777777" w:rsidR="007D51AE" w:rsidRDefault="00000000">
      <w:pPr>
        <w:jc w:val="both"/>
        <w:rPr>
          <w:sz w:val="24"/>
          <w:szCs w:val="24"/>
          <w:lang w:val="el-GR" w:eastAsia="de-DE"/>
        </w:rPr>
      </w:pPr>
      <w:r>
        <w:rPr>
          <w:sz w:val="24"/>
          <w:szCs w:val="24"/>
          <w:lang w:val="el-GR" w:eastAsia="de-DE"/>
        </w:rPr>
        <w:t>Ενδιαφέρον παρουσιάζει ο δείκτης διάρκεια της ανεργίας, ο οποίος και φανερώνει τον συστημικό χαρακτήρα του εργασιακού αποκλεισμού των ατόμων με αναπηρία.</w:t>
      </w:r>
    </w:p>
    <w:p w14:paraId="764D88C0" w14:textId="7647F6E3" w:rsidR="007D51AE" w:rsidRDefault="00000000">
      <w:pPr>
        <w:jc w:val="both"/>
        <w:rPr>
          <w:sz w:val="24"/>
          <w:szCs w:val="24"/>
          <w:lang w:val="el-GR" w:eastAsia="de-DE"/>
        </w:rPr>
      </w:pPr>
      <w:r>
        <w:rPr>
          <w:sz w:val="24"/>
          <w:szCs w:val="24"/>
          <w:lang w:val="el-GR" w:eastAsia="de-DE"/>
        </w:rPr>
        <w:t xml:space="preserve">Ειδικότερα </w:t>
      </w:r>
      <w:bookmarkStart w:id="17" w:name="_Hlk145061475"/>
      <w:r>
        <w:rPr>
          <w:sz w:val="24"/>
          <w:szCs w:val="24"/>
          <w:lang w:val="el-GR" w:eastAsia="de-DE"/>
        </w:rPr>
        <w:t>στο σύνολο των ανέργων με αναπηρία, το 65% αντιμετωπίζουν μακροχρόνια ανεργία, δηλαδή ανεργία που διαρκεί 12 μήνες ή και περισσότερο.</w:t>
      </w:r>
    </w:p>
    <w:p w14:paraId="4203DC7F" w14:textId="482D8684" w:rsidR="007D51AE" w:rsidRDefault="00000000" w:rsidP="009E27DC">
      <w:pPr>
        <w:pStyle w:val="a4"/>
        <w:keepNext/>
        <w:jc w:val="center"/>
        <w:rPr>
          <w:rFonts w:asciiTheme="majorHAnsi" w:eastAsia="Times New Roman" w:hAnsiTheme="majorHAnsi" w:cstheme="majorHAnsi"/>
          <w:b/>
          <w:bCs/>
          <w:color w:val="2F5496" w:themeColor="accent1" w:themeShade="BF"/>
          <w:sz w:val="26"/>
          <w:szCs w:val="26"/>
          <w:lang w:val="el-GR" w:eastAsia="de-DE"/>
        </w:rPr>
      </w:pPr>
      <w:bookmarkStart w:id="18" w:name="_Toc145080449"/>
      <w:bookmarkEnd w:id="17"/>
      <w:r>
        <w:rPr>
          <w:rFonts w:asciiTheme="majorHAnsi" w:eastAsia="Times New Roman" w:hAnsiTheme="majorHAnsi" w:cstheme="majorHAnsi"/>
          <w:b/>
          <w:bCs/>
          <w:color w:val="2F5496" w:themeColor="accent1" w:themeShade="BF"/>
          <w:sz w:val="26"/>
          <w:szCs w:val="26"/>
          <w:lang w:val="el-GR" w:eastAsia="de-DE"/>
        </w:rPr>
        <w:lastRenderedPageBreak/>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sidR="00436DBE">
        <w:rPr>
          <w:rFonts w:asciiTheme="majorHAnsi" w:eastAsia="Times New Roman" w:hAnsiTheme="majorHAnsi" w:cstheme="majorHAnsi"/>
          <w:b/>
          <w:bCs/>
          <w:noProof/>
          <w:color w:val="2F5496" w:themeColor="accent1" w:themeShade="BF"/>
          <w:sz w:val="26"/>
          <w:szCs w:val="26"/>
          <w:lang w:eastAsia="de-DE"/>
        </w:rPr>
        <w:t>6</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xml:space="preserve">: Διάρκεια ανεργίας κατά </w:t>
      </w:r>
      <w:r>
        <w:rPr>
          <w:rFonts w:asciiTheme="majorHAnsi" w:eastAsia="Times New Roman" w:hAnsiTheme="majorHAnsi" w:cstheme="majorHAnsi"/>
          <w:b/>
          <w:bCs/>
          <w:color w:val="2F5496" w:themeColor="accent1" w:themeShade="BF"/>
          <w:sz w:val="26"/>
          <w:szCs w:val="26"/>
          <w:lang w:eastAsia="de-DE"/>
        </w:rPr>
        <w:t>Eurostat</w:t>
      </w:r>
      <w:r>
        <w:rPr>
          <w:rFonts w:asciiTheme="majorHAnsi" w:eastAsia="Times New Roman" w:hAnsiTheme="majorHAnsi" w:cstheme="majorHAnsi"/>
          <w:b/>
          <w:bCs/>
          <w:color w:val="2F5496" w:themeColor="accent1" w:themeShade="BF"/>
          <w:sz w:val="26"/>
          <w:szCs w:val="26"/>
          <w:lang w:val="el-GR" w:eastAsia="de-DE"/>
        </w:rPr>
        <w:t xml:space="preserve"> και κατάσταση αναπηρίας πληθυσμού 20-64 ετών (ΕΕΔ,2022)</w:t>
      </w:r>
      <w:bookmarkEnd w:id="18"/>
    </w:p>
    <w:p w14:paraId="292EC151" w14:textId="77777777" w:rsidR="007D51AE" w:rsidRDefault="00000000" w:rsidP="003827A0">
      <w:pPr>
        <w:autoSpaceDE w:val="0"/>
        <w:autoSpaceDN w:val="0"/>
        <w:adjustRightInd w:val="0"/>
        <w:spacing w:after="0" w:line="400" w:lineRule="atLeast"/>
        <w:jc w:val="right"/>
        <w:rPr>
          <w:rFonts w:ascii="Times New Roman" w:hAnsi="Times New Roman" w:cs="Times New Roman"/>
          <w:sz w:val="24"/>
          <w:szCs w:val="24"/>
        </w:rPr>
      </w:pPr>
      <w:r>
        <w:rPr>
          <w:noProof/>
        </w:rPr>
        <w:drawing>
          <wp:inline distT="0" distB="0" distL="0" distR="0" wp14:anchorId="0A20842B" wp14:editId="783CE506">
            <wp:extent cx="5274310" cy="2713355"/>
            <wp:effectExtent l="0" t="0" r="2540" b="0"/>
            <wp:docPr id="1471284245" name="Γράφημα 1" descr="Με αναπηρία: Λιγότερο από 6 μήνες 27,6%, 6-11 μήνες 7,7%, 12 μήνες και άνω 64,6%&#10;Χωρίς αναπηρία: Λιγότερο από 6 μήνες 31,7%, 6-11 μήνες 13,4%, 12 μήνες και άνω 54,9%&#10;Συνολικός πληθυσμός: Λιγότερο από 6 μήνες 31,6%, 6-11 μήνες 13,2%, 12 μήνες και άνω 55,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BAF75A" w14:textId="77777777" w:rsidR="007D51AE" w:rsidRDefault="007D51AE">
      <w:pPr>
        <w:rPr>
          <w:lang w:eastAsia="de-DE"/>
        </w:rPr>
      </w:pPr>
    </w:p>
    <w:p w14:paraId="7CAFF0A3" w14:textId="77777777" w:rsidR="007D51AE" w:rsidRDefault="00000000">
      <w:pPr>
        <w:pStyle w:val="2"/>
        <w:tabs>
          <w:tab w:val="left" w:pos="360"/>
        </w:tabs>
        <w:spacing w:before="360" w:after="240"/>
        <w:ind w:left="426" w:right="-142" w:hanging="578"/>
      </w:pPr>
      <w:bookmarkStart w:id="19" w:name="_Toc145080426"/>
      <w:r>
        <w:t>Συσχέτιση της κατάστασης απασχόλησης με το εκπαιδευτικό επίπεδο</w:t>
      </w:r>
      <w:bookmarkEnd w:id="19"/>
      <w:r>
        <w:t xml:space="preserve"> </w:t>
      </w:r>
    </w:p>
    <w:p w14:paraId="04AF9F39" w14:textId="77777777" w:rsidR="007D51AE" w:rsidRDefault="00000000">
      <w:pPr>
        <w:jc w:val="both"/>
        <w:rPr>
          <w:sz w:val="24"/>
          <w:szCs w:val="24"/>
          <w:lang w:val="el-GR" w:eastAsia="de-DE"/>
        </w:rPr>
      </w:pPr>
      <w:r>
        <w:rPr>
          <w:sz w:val="24"/>
          <w:szCs w:val="24"/>
          <w:lang w:val="el-GR" w:eastAsia="de-DE"/>
        </w:rPr>
        <w:t xml:space="preserve">Η συσχέτιση της μεταβλητής κατάσταση απασχόλησης με το εκπαιδευτικό επίπεδο των ατόμων με αναπηρία και ηλικία 20-64 ετών μας οδηγεί στα εξής συμπεράσματα: </w:t>
      </w:r>
    </w:p>
    <w:p w14:paraId="607BF771" w14:textId="5B72A3E4" w:rsidR="007D51AE" w:rsidRPr="003827A0" w:rsidRDefault="00000000" w:rsidP="003827A0">
      <w:pPr>
        <w:pStyle w:val="af2"/>
        <w:numPr>
          <w:ilvl w:val="0"/>
          <w:numId w:val="5"/>
        </w:numPr>
        <w:jc w:val="both"/>
        <w:rPr>
          <w:sz w:val="24"/>
          <w:szCs w:val="24"/>
          <w:lang w:val="el-GR" w:eastAsia="de-DE"/>
        </w:rPr>
      </w:pPr>
      <w:bookmarkStart w:id="20" w:name="_Hlk145065101"/>
      <w:r w:rsidRPr="003827A0">
        <w:rPr>
          <w:sz w:val="24"/>
          <w:szCs w:val="24"/>
          <w:lang w:val="el-GR" w:eastAsia="de-DE"/>
        </w:rPr>
        <w:t xml:space="preserve">Σχεδόν τα 5 στα 10 άτομα με αναπηρία έχουν εκπαιδευτικό επίπεδο μέχρι την κατώτερη δευτεροβάθμια εκπαίδευση (επίπεδο γυμνασίου), ενώ το 1/3 των ατόμων με αναπηρία έχουν ολοκληρώσει μόνο το δημοτικό ή έχουν παρακολουθήσει λίγες τάξεις του δημοτικού. </w:t>
      </w:r>
    </w:p>
    <w:p w14:paraId="0ED08A90" w14:textId="5806396B" w:rsidR="007D51AE" w:rsidRPr="003827A0" w:rsidRDefault="00000000" w:rsidP="003827A0">
      <w:pPr>
        <w:pStyle w:val="af2"/>
        <w:numPr>
          <w:ilvl w:val="0"/>
          <w:numId w:val="5"/>
        </w:numPr>
        <w:jc w:val="both"/>
        <w:rPr>
          <w:sz w:val="24"/>
          <w:szCs w:val="24"/>
          <w:lang w:val="el-GR" w:eastAsia="de-DE"/>
        </w:rPr>
      </w:pPr>
      <w:r w:rsidRPr="003827A0">
        <w:rPr>
          <w:sz w:val="24"/>
          <w:szCs w:val="24"/>
          <w:lang w:val="el-GR" w:eastAsia="de-DE"/>
        </w:rPr>
        <w:t>Το εκπαιδευτικό επίπεδο βρέθηκε να είναι χαμηλότερο στα άτομα με αναπηρία που δεν εντάσσονται στο εργατικό δυναμικό (ούτε εργάζονται/ούτε αναζητούν εργασία), τα οποία παρουσιάζουν υψηλότερο ποσοστό αποφοίτων πρωτοβάθμιας εκπαίδευσης, ενώ υπολείπονται και στα ποσοστά συμμετοχής τους και ολοκλήρωσης πανεπιστημιακής εκπαίδευση. Ο πληθυσμός αυτός, λόγω του ότι είναι και ο πολυπληθέστερος μεταξύ των ατόμων με αναπηρία διαμορφώνει</w:t>
      </w:r>
      <w:r w:rsidR="00B44236" w:rsidRPr="003827A0">
        <w:rPr>
          <w:sz w:val="24"/>
          <w:szCs w:val="24"/>
          <w:lang w:val="el-GR" w:eastAsia="de-DE"/>
        </w:rPr>
        <w:t xml:space="preserve"> </w:t>
      </w:r>
      <w:r w:rsidRPr="003827A0">
        <w:rPr>
          <w:sz w:val="24"/>
          <w:szCs w:val="24"/>
          <w:lang w:val="el-GR" w:eastAsia="de-DE"/>
        </w:rPr>
        <w:t xml:space="preserve">σημαντικά και τα συνολικά ποσοστά που αναφέρθηκαν. </w:t>
      </w:r>
    </w:p>
    <w:p w14:paraId="716067FD" w14:textId="01D5A4AD" w:rsidR="007D51AE" w:rsidRPr="003827A0" w:rsidRDefault="00000000" w:rsidP="003827A0">
      <w:pPr>
        <w:pStyle w:val="af2"/>
        <w:numPr>
          <w:ilvl w:val="0"/>
          <w:numId w:val="5"/>
        </w:numPr>
        <w:jc w:val="both"/>
        <w:rPr>
          <w:sz w:val="24"/>
          <w:szCs w:val="24"/>
          <w:lang w:val="el-GR" w:eastAsia="de-DE"/>
        </w:rPr>
      </w:pPr>
      <w:r w:rsidRPr="003827A0">
        <w:rPr>
          <w:sz w:val="24"/>
          <w:szCs w:val="24"/>
          <w:lang w:val="el-GR" w:eastAsia="de-DE"/>
        </w:rPr>
        <w:t xml:space="preserve">Ενδιαφέρον εύρημα αποτελεί ωστόσο η διαφοροποίηση των συχνοτήτων των εκπαιδευτικών επιπέδων μεταξύ των απασχολούμενων και των ανέργων με αναπηρία, με τους άνεργους όχι μόνο να μην εμφανίζουν χαμηλότερο συγκριτικά επίπεδο, όπως θα αναμενόταν, αλλά και να έχουν μεγαλύτερα ποσοστά στις υψηλότερες εκπαιδευτικές βαθμίδες σε σχέση με τους απασχολούμενους. </w:t>
      </w:r>
      <w:r w:rsidRPr="003827A0">
        <w:rPr>
          <w:sz w:val="24"/>
          <w:szCs w:val="24"/>
          <w:lang w:val="el-GR" w:eastAsia="de-DE"/>
        </w:rPr>
        <w:lastRenderedPageBreak/>
        <w:t>Ειδικότερα το 9% των ανέργων κατέχουν μεταπτυχιακό/ τίτλο ή διδακτορικό, όταν το αντίστοιχο ποσοστό στους απασχολούμενους με αναπηρία ανέρχεται σε 2%.</w:t>
      </w:r>
    </w:p>
    <w:bookmarkEnd w:id="20"/>
    <w:p w14:paraId="1A823F29" w14:textId="77777777" w:rsidR="007D51AE" w:rsidRDefault="00000000" w:rsidP="003827A0">
      <w:pPr>
        <w:ind w:left="709"/>
        <w:jc w:val="both"/>
        <w:rPr>
          <w:sz w:val="24"/>
          <w:szCs w:val="24"/>
          <w:lang w:val="el-GR" w:eastAsia="de-DE"/>
        </w:rPr>
      </w:pPr>
      <w:r>
        <w:rPr>
          <w:sz w:val="24"/>
          <w:szCs w:val="24"/>
          <w:lang w:val="el-GR" w:eastAsia="de-DE"/>
        </w:rPr>
        <w:t xml:space="preserve">Το τελευταίο αυτό εύρημα χρήζει περαιτέρω έρευνας. Ενδεχόμενες ερμηνείες θα μπορούσαν να συνδέονται με το γεγονός ότι τα άτομα με υψηλότερο εκπαιδευτικό επίπεδο τείνουν να μην αποσύρονται από την ενεργή αναζήτηση εργασίας, και συνεπώς να καταγράφονται ως άνεργοι. Ταυτόχρονα, τα άτομα με αναπηρία και υψηλό εκπαιδευτικό επίπεδο αντιμετωπίζουν και πρόσθετες προκαταλήψεις σχετικά με τις ικανότητες τους να ανταπεξέλθουν σε θέσεις εργασίας υψηλών προσόντων, θέσεις δηλαδή που αντιστοιχούν στα τυπικά τους προσόντα. </w:t>
      </w:r>
    </w:p>
    <w:p w14:paraId="11BDD141" w14:textId="77777777" w:rsidR="007D51AE" w:rsidRDefault="00000000">
      <w:pPr>
        <w:jc w:val="both"/>
        <w:rPr>
          <w:sz w:val="24"/>
          <w:szCs w:val="24"/>
          <w:lang w:val="el-GR" w:eastAsia="de-DE"/>
        </w:rPr>
      </w:pPr>
      <w:r>
        <w:rPr>
          <w:sz w:val="24"/>
          <w:szCs w:val="24"/>
          <w:lang w:val="el-GR" w:eastAsia="de-DE"/>
        </w:rPr>
        <w:t xml:space="preserve">Σε κάθε περίπτωση συνάγεται το συμπέρασμα ότι η πρόσβαση στην εκπαίδευση αποτελεί παράγοντα εργασιακής ενδυνάμωσης των ατόμων με αναπηρία, ωστόσο απαιτείται παράλληλα και η αλλαγή των αναχρονιστικών αντιλήψεων και στάσεων (της κοινωνίας, των εργοδοτών κ.α.) που δημιουργούν φραγμούς στο δικαίωμα των ατόμων με αναπηρία για αξιοπρεπή εργασία και διαβίωση. </w:t>
      </w:r>
    </w:p>
    <w:p w14:paraId="3A11576C" w14:textId="0EEF90BC" w:rsidR="007D51AE" w:rsidRDefault="00000000">
      <w:pPr>
        <w:pStyle w:val="a4"/>
        <w:keepNext/>
        <w:rPr>
          <w:rFonts w:asciiTheme="majorHAnsi" w:eastAsia="Times New Roman" w:hAnsiTheme="majorHAnsi" w:cstheme="majorHAnsi"/>
          <w:b/>
          <w:bCs/>
          <w:color w:val="2F5496" w:themeColor="accent1" w:themeShade="BF"/>
          <w:sz w:val="26"/>
          <w:szCs w:val="26"/>
          <w:lang w:val="el-GR" w:eastAsia="de-DE"/>
        </w:rPr>
      </w:pPr>
      <w:bookmarkStart w:id="21" w:name="_Toc145080450"/>
      <w:r>
        <w:rPr>
          <w:rFonts w:asciiTheme="majorHAnsi" w:eastAsia="Times New Roman" w:hAnsiTheme="majorHAnsi" w:cstheme="majorHAnsi"/>
          <w:b/>
          <w:bCs/>
          <w:color w:val="2F5496" w:themeColor="accent1" w:themeShade="BF"/>
          <w:sz w:val="26"/>
          <w:szCs w:val="26"/>
          <w:lang w:val="el-GR" w:eastAsia="de-DE"/>
        </w:rPr>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sidR="00436DBE">
        <w:rPr>
          <w:rFonts w:asciiTheme="majorHAnsi" w:eastAsia="Times New Roman" w:hAnsiTheme="majorHAnsi" w:cstheme="majorHAnsi"/>
          <w:b/>
          <w:bCs/>
          <w:noProof/>
          <w:color w:val="2F5496" w:themeColor="accent1" w:themeShade="BF"/>
          <w:sz w:val="26"/>
          <w:szCs w:val="26"/>
          <w:lang w:eastAsia="de-DE"/>
        </w:rPr>
        <w:t>7</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Κατάσταση απασχόλησης και εκπαιδευτικό επίπεδο πληθυσμού με αναπηρία 20-64 ετών (ΕΕΔ,2022)</w:t>
      </w:r>
      <w:bookmarkEnd w:id="21"/>
    </w:p>
    <w:p w14:paraId="4653958A" w14:textId="77777777" w:rsidR="007D51AE" w:rsidRDefault="00000000">
      <w:pPr>
        <w:rPr>
          <w:lang w:eastAsia="de-DE"/>
        </w:rPr>
      </w:pPr>
      <w:r>
        <w:rPr>
          <w:noProof/>
        </w:rPr>
        <w:drawing>
          <wp:inline distT="0" distB="0" distL="0" distR="0" wp14:anchorId="38CC6DC6" wp14:editId="7EC701F3">
            <wp:extent cx="5756910" cy="4076700"/>
            <wp:effectExtent l="0" t="0" r="15240" b="0"/>
            <wp:docPr id="1130666092" name="Γράφημα 1" descr="Απασχολούμενοι: Έως πρωτοβάθμια 30,2%, Κατώτερη δευτεροβάθμια 14,1%, Ανώτερη δευτεροβάθμια 32,5%, Μεταδευτεροβάθμια μη-τριτοβάθμια εκπαίδευση 6,4%, Τριτοβάθμια-Προγράμματα σύντομου κύκλου 0%, Πτυχίο τριτοβάθμιας 14,6%, Μεταπτυχιακός τίτλος 1,4%, Διδακτορικό 0,8%&#10;Άνεργοι: Έως πρωτοβάθμια 15%, Κατώτερη δευτεροβάθμια 24,3%, Ανώτερη δευτεροβάθμια 39,6%, Μεταδευτεροβάθμια μη-τριτοβάθμια εκπαίδευση 3,3%, Τριτοβάθμια-Προγράμματα σύντομου κύκλου 0%, Πτυχίο τριτοβάθμιας 8,9%, Μεταπτυχιακός τίτλος 5,6%, Διδακτορικό 3,2%&#10;Εκτός εργατικού Δυναμικού: Έως πρωτοβάθμια 35,7%, Κατώτερη δευτεροβάθμια 14,1%, Ανώτερη δευτεροβάθμια 33,6%, Μεταδευτεροβάθμια μη-τριτοβάθμια εκπαίδευση 5,3%, Τριτοβάθμια-Προγράμματα σύντομου κύκλου 1,2%, Πτυχίο τριτοβάθμιας 8,6%, Μεταπτυχιακός τίτλος 1,5%, Διδακτορικό 0%&#10;Σύνολο: Έως πρωτοβάθμια 33,6%, Κατώτερη δευτεροβάθμια 14,6%, Ανώτερη δευτεροβάθμια 33,7%, Μεταδευτεροβάθμια μη-τριτοβάθμια εκπαίδευση 5,4%, Τριτοβάθμια-Προγράμματα σύντομου κύκλου 0,9%, Πτυχίο τριτοβάθμιας 9,7%, Μεταπτυχιακός τίτλος 1,7%, Διδακτορικό 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D280A3" w14:textId="77777777" w:rsidR="007D51AE" w:rsidRDefault="00000000">
      <w:pPr>
        <w:pStyle w:val="2"/>
        <w:tabs>
          <w:tab w:val="left" w:pos="360"/>
        </w:tabs>
        <w:spacing w:before="360" w:after="240"/>
        <w:ind w:left="426" w:right="-142" w:hanging="578"/>
      </w:pPr>
      <w:bookmarkStart w:id="22" w:name="_Toc145080427"/>
      <w:r>
        <w:lastRenderedPageBreak/>
        <w:t>Κλάδος απασχόλησης και αναπηρία</w:t>
      </w:r>
      <w:bookmarkEnd w:id="22"/>
    </w:p>
    <w:p w14:paraId="7F9DB19F" w14:textId="77777777" w:rsidR="007D51AE" w:rsidRDefault="00000000">
      <w:pPr>
        <w:jc w:val="both"/>
        <w:rPr>
          <w:rFonts w:cstheme="minorHAnsi"/>
          <w:sz w:val="24"/>
          <w:szCs w:val="24"/>
          <w:lang w:val="el-GR"/>
        </w:rPr>
      </w:pPr>
      <w:r>
        <w:rPr>
          <w:rFonts w:cstheme="minorHAnsi"/>
          <w:sz w:val="24"/>
          <w:szCs w:val="24"/>
          <w:lang w:val="el-GR"/>
        </w:rPr>
        <w:t>Στον πίνακα 2 παρουσιάζεται η κατανομή των εργαζομένων με αναπηρία ανάλογα με τον κλάδο οικονομικής δραστηριότητας της κύριας απασχόλησης (1ψήφιο ΣΤΑΚΟΔ-08).</w:t>
      </w:r>
    </w:p>
    <w:p w14:paraId="5FB41ABE" w14:textId="77777777" w:rsidR="007D51AE" w:rsidRDefault="00000000">
      <w:pPr>
        <w:jc w:val="both"/>
        <w:rPr>
          <w:rFonts w:eastAsia="Times New Roman" w:cstheme="minorHAnsi"/>
          <w:color w:val="000000"/>
          <w:sz w:val="24"/>
          <w:szCs w:val="24"/>
          <w:lang w:val="el-GR" w:eastAsia="el-GR"/>
        </w:rPr>
      </w:pPr>
      <w:bookmarkStart w:id="23" w:name="_Hlk145065654"/>
      <w:r>
        <w:rPr>
          <w:rFonts w:cstheme="minorHAnsi"/>
          <w:sz w:val="24"/>
          <w:szCs w:val="24"/>
          <w:lang w:val="el-GR"/>
        </w:rPr>
        <w:t>Σε σύγκριση με τα άτομα χωρίς αναπηρία, τα άτομα με αναπηρία εμφανίζουν μεγαλύτερη συμμετοχή στους κλάδους της «Γεωργίας, δασοκομίας, αλιείας», στις «κατασκευές» και στις «διοικητικές και υποστηρικτικές δραστηριότητες». Αντίθετα, παρουσιάζουν μικρότερη συγκριτικά συμμετοχή στις «</w:t>
      </w:r>
      <w:r>
        <w:rPr>
          <w:rFonts w:eastAsia="Times New Roman" w:cstheme="minorHAnsi"/>
          <w:color w:val="000000"/>
          <w:sz w:val="24"/>
          <w:szCs w:val="24"/>
          <w:lang w:val="el-GR" w:eastAsia="el-GR"/>
        </w:rPr>
        <w:t xml:space="preserve">επαγγελματικές, επιστημονικές και τεχνικές δραστηριότητες», στην «Εκπαίδευση». </w:t>
      </w:r>
    </w:p>
    <w:bookmarkEnd w:id="23"/>
    <w:p w14:paraId="1B72E024" w14:textId="77777777" w:rsidR="007D51AE" w:rsidRDefault="007D51AE">
      <w:pPr>
        <w:rPr>
          <w:lang w:val="el-GR"/>
        </w:rPr>
      </w:pPr>
    </w:p>
    <w:p w14:paraId="210D74E2" w14:textId="27428C6D" w:rsidR="007D51AE" w:rsidRDefault="00000000" w:rsidP="00596A26">
      <w:pPr>
        <w:pStyle w:val="a4"/>
        <w:keepNext/>
        <w:jc w:val="center"/>
        <w:rPr>
          <w:rFonts w:asciiTheme="majorHAnsi" w:eastAsia="Times New Roman" w:hAnsiTheme="majorHAnsi" w:cstheme="majorHAnsi"/>
          <w:b/>
          <w:bCs/>
          <w:color w:val="2F5496" w:themeColor="accent1" w:themeShade="BF"/>
          <w:sz w:val="26"/>
          <w:szCs w:val="26"/>
          <w:lang w:val="el-GR" w:eastAsia="de-DE"/>
        </w:rPr>
      </w:pPr>
      <w:r>
        <w:rPr>
          <w:rFonts w:asciiTheme="majorHAnsi" w:eastAsia="Times New Roman" w:hAnsiTheme="majorHAnsi" w:cstheme="majorHAnsi"/>
          <w:b/>
          <w:bCs/>
          <w:color w:val="2F5496" w:themeColor="accent1" w:themeShade="BF"/>
          <w:sz w:val="26"/>
          <w:szCs w:val="26"/>
          <w:lang w:val="el-GR" w:eastAsia="de-DE"/>
        </w:rPr>
        <w:t xml:space="preserve">Πίνακας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Πίνακας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sidR="00436DBE">
        <w:rPr>
          <w:rFonts w:asciiTheme="majorHAnsi" w:eastAsia="Times New Roman" w:hAnsiTheme="majorHAnsi" w:cstheme="majorHAnsi"/>
          <w:b/>
          <w:bCs/>
          <w:noProof/>
          <w:color w:val="2F5496" w:themeColor="accent1" w:themeShade="BF"/>
          <w:sz w:val="26"/>
          <w:szCs w:val="26"/>
          <w:lang w:eastAsia="de-DE"/>
        </w:rPr>
        <w:t>2</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Κλάδος οικονομικής δραστηριότητας κύριας απασχόλησης (1ψήφιο ΣΤΑΚΟΔ-08) εργαζομένων 20-64 ετών με και χωρίς αναπηρία (ΕΕΔ,2022)</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1754"/>
        <w:gridCol w:w="1843"/>
        <w:gridCol w:w="1417"/>
      </w:tblGrid>
      <w:tr w:rsidR="007D51AE" w14:paraId="7E4E0A0C" w14:textId="77777777" w:rsidTr="00596A26">
        <w:trPr>
          <w:trHeight w:val="804"/>
          <w:jc w:val="center"/>
        </w:trPr>
        <w:tc>
          <w:tcPr>
            <w:tcW w:w="2919" w:type="dxa"/>
            <w:tcBorders>
              <w:top w:val="nil"/>
              <w:left w:val="nil"/>
            </w:tcBorders>
            <w:shd w:val="clear" w:color="auto" w:fill="auto"/>
            <w:vAlign w:val="bottom"/>
          </w:tcPr>
          <w:p w14:paraId="1C49D799" w14:textId="77777777" w:rsidR="007D51AE" w:rsidRDefault="007D51AE">
            <w:pPr>
              <w:spacing w:after="0" w:line="240" w:lineRule="auto"/>
              <w:rPr>
                <w:rFonts w:asciiTheme="majorHAnsi" w:eastAsia="Times New Roman" w:hAnsiTheme="majorHAnsi" w:cstheme="majorHAnsi"/>
                <w:lang w:val="el-GR" w:eastAsia="el-GR"/>
              </w:rPr>
            </w:pPr>
          </w:p>
        </w:tc>
        <w:tc>
          <w:tcPr>
            <w:tcW w:w="1754" w:type="dxa"/>
            <w:shd w:val="clear" w:color="auto" w:fill="auto"/>
            <w:vAlign w:val="bottom"/>
          </w:tcPr>
          <w:p w14:paraId="57E0C5B9" w14:textId="6B3DD3A5" w:rsidR="007D51AE" w:rsidRPr="00596A26" w:rsidRDefault="00596A26">
            <w:pPr>
              <w:spacing w:after="0" w:line="240" w:lineRule="auto"/>
              <w:rPr>
                <w:rFonts w:asciiTheme="majorHAnsi" w:eastAsia="Times New Roman" w:hAnsiTheme="majorHAnsi" w:cstheme="majorHAnsi"/>
                <w:color w:val="000000"/>
                <w:lang w:val="el-GR" w:eastAsia="el-GR"/>
              </w:rPr>
            </w:pPr>
            <w:r w:rsidRPr="00596A26">
              <w:rPr>
                <w:rFonts w:asciiTheme="majorHAnsi" w:eastAsia="Times New Roman" w:hAnsiTheme="majorHAnsi" w:cstheme="majorHAnsi"/>
                <w:color w:val="000000"/>
                <w:lang w:val="el-GR" w:eastAsia="el-GR"/>
              </w:rPr>
              <w:t>Εργαζόμενοι με αναπηρία</w:t>
            </w:r>
          </w:p>
        </w:tc>
        <w:tc>
          <w:tcPr>
            <w:tcW w:w="1843" w:type="dxa"/>
            <w:shd w:val="clear" w:color="auto" w:fill="auto"/>
            <w:vAlign w:val="bottom"/>
          </w:tcPr>
          <w:p w14:paraId="650E2C70" w14:textId="07E1D306" w:rsidR="007D51AE" w:rsidRDefault="00596A26">
            <w:pPr>
              <w:spacing w:after="0" w:line="240" w:lineRule="auto"/>
              <w:rPr>
                <w:rFonts w:asciiTheme="majorHAnsi" w:eastAsia="Times New Roman" w:hAnsiTheme="majorHAnsi" w:cstheme="majorHAnsi"/>
                <w:color w:val="000000"/>
                <w:lang w:eastAsia="el-GR"/>
              </w:rPr>
            </w:pPr>
            <w:proofErr w:type="spellStart"/>
            <w:r w:rsidRPr="00596A26">
              <w:rPr>
                <w:rFonts w:asciiTheme="majorHAnsi" w:eastAsia="Times New Roman" w:hAnsiTheme="majorHAnsi" w:cstheme="majorHAnsi"/>
                <w:color w:val="000000"/>
                <w:lang w:eastAsia="el-GR"/>
              </w:rPr>
              <w:t>Εργ</w:t>
            </w:r>
            <w:proofErr w:type="spellEnd"/>
            <w:r w:rsidRPr="00596A26">
              <w:rPr>
                <w:rFonts w:asciiTheme="majorHAnsi" w:eastAsia="Times New Roman" w:hAnsiTheme="majorHAnsi" w:cstheme="majorHAnsi"/>
                <w:color w:val="000000"/>
                <w:lang w:eastAsia="el-GR"/>
              </w:rPr>
              <w:t xml:space="preserve">αζόμενοι </w:t>
            </w:r>
            <w:proofErr w:type="spellStart"/>
            <w:r w:rsidRPr="00596A26">
              <w:rPr>
                <w:rFonts w:asciiTheme="majorHAnsi" w:eastAsia="Times New Roman" w:hAnsiTheme="majorHAnsi" w:cstheme="majorHAnsi"/>
                <w:color w:val="000000"/>
                <w:lang w:eastAsia="el-GR"/>
              </w:rPr>
              <w:t>χωρίς</w:t>
            </w:r>
            <w:proofErr w:type="spellEnd"/>
            <w:r w:rsidRPr="00596A26">
              <w:rPr>
                <w:rFonts w:asciiTheme="majorHAnsi" w:eastAsia="Times New Roman" w:hAnsiTheme="majorHAnsi" w:cstheme="majorHAnsi"/>
                <w:color w:val="000000"/>
                <w:lang w:eastAsia="el-GR"/>
              </w:rPr>
              <w:t xml:space="preserve"> αναπ</w:t>
            </w:r>
            <w:proofErr w:type="spellStart"/>
            <w:r w:rsidRPr="00596A26">
              <w:rPr>
                <w:rFonts w:asciiTheme="majorHAnsi" w:eastAsia="Times New Roman" w:hAnsiTheme="majorHAnsi" w:cstheme="majorHAnsi"/>
                <w:color w:val="000000"/>
                <w:lang w:eastAsia="el-GR"/>
              </w:rPr>
              <w:t>ηρί</w:t>
            </w:r>
            <w:proofErr w:type="spellEnd"/>
            <w:r w:rsidRPr="00596A26">
              <w:rPr>
                <w:rFonts w:asciiTheme="majorHAnsi" w:eastAsia="Times New Roman" w:hAnsiTheme="majorHAnsi" w:cstheme="majorHAnsi"/>
                <w:color w:val="000000"/>
                <w:lang w:eastAsia="el-GR"/>
              </w:rPr>
              <w:t>α</w:t>
            </w:r>
          </w:p>
        </w:tc>
        <w:tc>
          <w:tcPr>
            <w:tcW w:w="1417" w:type="dxa"/>
            <w:shd w:val="clear" w:color="auto" w:fill="auto"/>
            <w:vAlign w:val="bottom"/>
          </w:tcPr>
          <w:p w14:paraId="6BCBA38B" w14:textId="27F5AA4F" w:rsidR="007D51AE" w:rsidRDefault="00596A26">
            <w:pPr>
              <w:spacing w:after="0" w:line="240" w:lineRule="auto"/>
              <w:rPr>
                <w:rFonts w:asciiTheme="majorHAnsi" w:eastAsia="Times New Roman" w:hAnsiTheme="majorHAnsi" w:cstheme="majorHAnsi"/>
                <w:color w:val="000000"/>
                <w:lang w:eastAsia="el-GR"/>
              </w:rPr>
            </w:pPr>
            <w:proofErr w:type="spellStart"/>
            <w:r w:rsidRPr="00596A26">
              <w:rPr>
                <w:rFonts w:asciiTheme="majorHAnsi" w:eastAsia="Times New Roman" w:hAnsiTheme="majorHAnsi" w:cstheme="majorHAnsi"/>
                <w:color w:val="000000"/>
                <w:lang w:eastAsia="el-GR"/>
              </w:rPr>
              <w:t>Συνολικός</w:t>
            </w:r>
            <w:proofErr w:type="spellEnd"/>
            <w:r w:rsidRPr="00596A26">
              <w:rPr>
                <w:rFonts w:asciiTheme="majorHAnsi" w:eastAsia="Times New Roman" w:hAnsiTheme="majorHAnsi" w:cstheme="majorHAnsi"/>
                <w:color w:val="000000"/>
                <w:lang w:eastAsia="el-GR"/>
              </w:rPr>
              <w:t xml:space="preserve"> </w:t>
            </w:r>
            <w:proofErr w:type="spellStart"/>
            <w:r w:rsidRPr="00596A26">
              <w:rPr>
                <w:rFonts w:asciiTheme="majorHAnsi" w:eastAsia="Times New Roman" w:hAnsiTheme="majorHAnsi" w:cstheme="majorHAnsi"/>
                <w:color w:val="000000"/>
                <w:lang w:eastAsia="el-GR"/>
              </w:rPr>
              <w:t>Πληθυσμός</w:t>
            </w:r>
            <w:proofErr w:type="spellEnd"/>
          </w:p>
        </w:tc>
      </w:tr>
      <w:tr w:rsidR="007D51AE" w14:paraId="5401A56C" w14:textId="77777777" w:rsidTr="00596A26">
        <w:trPr>
          <w:trHeight w:val="300"/>
          <w:jc w:val="center"/>
        </w:trPr>
        <w:tc>
          <w:tcPr>
            <w:tcW w:w="2919" w:type="dxa"/>
            <w:shd w:val="clear" w:color="auto" w:fill="auto"/>
            <w:vAlign w:val="bottom"/>
          </w:tcPr>
          <w:p w14:paraId="12E4669F"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ΓΕΩΡΓΙΑ, ΔΑΣΟΚΟΜΙΑ ΚΑΙ ΑΛΙΕΙΑ</w:t>
            </w:r>
          </w:p>
        </w:tc>
        <w:tc>
          <w:tcPr>
            <w:tcW w:w="1754" w:type="dxa"/>
            <w:shd w:val="clear" w:color="auto" w:fill="auto"/>
            <w:noWrap/>
            <w:vAlign w:val="bottom"/>
          </w:tcPr>
          <w:p w14:paraId="5F41A9C4"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16,3%</w:t>
            </w:r>
          </w:p>
        </w:tc>
        <w:tc>
          <w:tcPr>
            <w:tcW w:w="1843" w:type="dxa"/>
            <w:shd w:val="clear" w:color="auto" w:fill="auto"/>
            <w:noWrap/>
            <w:vAlign w:val="bottom"/>
          </w:tcPr>
          <w:p w14:paraId="751AB365"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11,5%</w:t>
            </w:r>
          </w:p>
        </w:tc>
        <w:tc>
          <w:tcPr>
            <w:tcW w:w="1417" w:type="dxa"/>
            <w:shd w:val="clear" w:color="auto" w:fill="auto"/>
            <w:noWrap/>
            <w:vAlign w:val="bottom"/>
          </w:tcPr>
          <w:p w14:paraId="1C6118D0"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11,5%</w:t>
            </w:r>
          </w:p>
        </w:tc>
      </w:tr>
      <w:tr w:rsidR="007D51AE" w14:paraId="4D3E4F4C" w14:textId="77777777" w:rsidTr="00596A26">
        <w:trPr>
          <w:trHeight w:val="300"/>
          <w:jc w:val="center"/>
        </w:trPr>
        <w:tc>
          <w:tcPr>
            <w:tcW w:w="2919" w:type="dxa"/>
            <w:shd w:val="clear" w:color="auto" w:fill="auto"/>
            <w:vAlign w:val="bottom"/>
          </w:tcPr>
          <w:p w14:paraId="5E341379"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ΟΡΥΧΕΙΑ ΚΑΙ ΛΑΤΟΜΕΙΑ</w:t>
            </w:r>
          </w:p>
        </w:tc>
        <w:tc>
          <w:tcPr>
            <w:tcW w:w="1754" w:type="dxa"/>
            <w:shd w:val="clear" w:color="auto" w:fill="auto"/>
            <w:noWrap/>
            <w:vAlign w:val="bottom"/>
          </w:tcPr>
          <w:p w14:paraId="0EDBF0BC"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0,0%</w:t>
            </w:r>
          </w:p>
        </w:tc>
        <w:tc>
          <w:tcPr>
            <w:tcW w:w="1843" w:type="dxa"/>
            <w:shd w:val="clear" w:color="auto" w:fill="auto"/>
            <w:noWrap/>
            <w:vAlign w:val="bottom"/>
          </w:tcPr>
          <w:p w14:paraId="26AF25BA"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0,3%</w:t>
            </w:r>
          </w:p>
        </w:tc>
        <w:tc>
          <w:tcPr>
            <w:tcW w:w="1417" w:type="dxa"/>
            <w:shd w:val="clear" w:color="auto" w:fill="auto"/>
            <w:noWrap/>
            <w:vAlign w:val="bottom"/>
          </w:tcPr>
          <w:p w14:paraId="28472AB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0,3%</w:t>
            </w:r>
          </w:p>
        </w:tc>
      </w:tr>
      <w:tr w:rsidR="007D51AE" w14:paraId="0E1B7D1F" w14:textId="77777777" w:rsidTr="00596A26">
        <w:trPr>
          <w:trHeight w:val="300"/>
          <w:jc w:val="center"/>
        </w:trPr>
        <w:tc>
          <w:tcPr>
            <w:tcW w:w="2919" w:type="dxa"/>
            <w:shd w:val="clear" w:color="auto" w:fill="auto"/>
            <w:vAlign w:val="bottom"/>
          </w:tcPr>
          <w:p w14:paraId="6A7505E0"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ΜΕΤΑΠΟΙΗΣΗ</w:t>
            </w:r>
          </w:p>
        </w:tc>
        <w:tc>
          <w:tcPr>
            <w:tcW w:w="1754" w:type="dxa"/>
            <w:shd w:val="clear" w:color="auto" w:fill="auto"/>
            <w:noWrap/>
            <w:vAlign w:val="bottom"/>
          </w:tcPr>
          <w:p w14:paraId="266F5877"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5,7%</w:t>
            </w:r>
          </w:p>
        </w:tc>
        <w:tc>
          <w:tcPr>
            <w:tcW w:w="1843" w:type="dxa"/>
            <w:shd w:val="clear" w:color="auto" w:fill="auto"/>
            <w:noWrap/>
            <w:vAlign w:val="bottom"/>
          </w:tcPr>
          <w:p w14:paraId="18A18AE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9,9%</w:t>
            </w:r>
          </w:p>
        </w:tc>
        <w:tc>
          <w:tcPr>
            <w:tcW w:w="1417" w:type="dxa"/>
            <w:shd w:val="clear" w:color="auto" w:fill="auto"/>
            <w:noWrap/>
            <w:vAlign w:val="bottom"/>
          </w:tcPr>
          <w:p w14:paraId="085A5FD7"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9,9%</w:t>
            </w:r>
          </w:p>
        </w:tc>
      </w:tr>
      <w:tr w:rsidR="007D51AE" w14:paraId="6DBB74CB" w14:textId="77777777" w:rsidTr="00596A26">
        <w:trPr>
          <w:trHeight w:val="900"/>
          <w:jc w:val="center"/>
        </w:trPr>
        <w:tc>
          <w:tcPr>
            <w:tcW w:w="2919" w:type="dxa"/>
            <w:shd w:val="clear" w:color="auto" w:fill="auto"/>
            <w:vAlign w:val="bottom"/>
          </w:tcPr>
          <w:p w14:paraId="4F9BC2B6" w14:textId="77777777" w:rsidR="007D51AE" w:rsidRDefault="00000000">
            <w:pPr>
              <w:spacing w:after="0" w:line="240" w:lineRule="auto"/>
              <w:rPr>
                <w:rFonts w:asciiTheme="majorHAnsi" w:eastAsia="Times New Roman" w:hAnsiTheme="majorHAnsi" w:cstheme="majorHAnsi"/>
                <w:color w:val="000000"/>
                <w:lang w:val="el-GR" w:eastAsia="el-GR"/>
              </w:rPr>
            </w:pPr>
            <w:r>
              <w:rPr>
                <w:rFonts w:asciiTheme="majorHAnsi" w:eastAsia="Times New Roman" w:hAnsiTheme="majorHAnsi" w:cstheme="majorHAnsi"/>
                <w:color w:val="000000"/>
                <w:lang w:val="el-GR" w:eastAsia="el-GR"/>
              </w:rPr>
              <w:t>ΠΑΡΟΧΗ ΗΛΕΚΤΡΙΚΟΥ ΡΕΥΜΑΤΟΣ, ΦΥΣΙΚΟΥ ΑΕΡΙΟΥ, ΑΤΜΟΥ ΚΑΙ ΚΛΙΜΑΤΙΣΜΟΥ</w:t>
            </w:r>
          </w:p>
        </w:tc>
        <w:tc>
          <w:tcPr>
            <w:tcW w:w="1754" w:type="dxa"/>
            <w:shd w:val="clear" w:color="auto" w:fill="auto"/>
            <w:noWrap/>
            <w:vAlign w:val="bottom"/>
          </w:tcPr>
          <w:p w14:paraId="25899FA7"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0,4%</w:t>
            </w:r>
          </w:p>
        </w:tc>
        <w:tc>
          <w:tcPr>
            <w:tcW w:w="1843" w:type="dxa"/>
            <w:shd w:val="clear" w:color="auto" w:fill="auto"/>
            <w:noWrap/>
            <w:vAlign w:val="bottom"/>
          </w:tcPr>
          <w:p w14:paraId="2BBE93D9"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0,9%</w:t>
            </w:r>
          </w:p>
        </w:tc>
        <w:tc>
          <w:tcPr>
            <w:tcW w:w="1417" w:type="dxa"/>
            <w:shd w:val="clear" w:color="auto" w:fill="auto"/>
            <w:noWrap/>
            <w:vAlign w:val="bottom"/>
          </w:tcPr>
          <w:p w14:paraId="493ABEED"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0,9%</w:t>
            </w:r>
          </w:p>
        </w:tc>
      </w:tr>
      <w:tr w:rsidR="007D51AE" w14:paraId="1388EF5A" w14:textId="77777777" w:rsidTr="00596A26">
        <w:trPr>
          <w:trHeight w:val="1260"/>
          <w:jc w:val="center"/>
        </w:trPr>
        <w:tc>
          <w:tcPr>
            <w:tcW w:w="2919" w:type="dxa"/>
            <w:shd w:val="clear" w:color="auto" w:fill="auto"/>
            <w:vAlign w:val="bottom"/>
          </w:tcPr>
          <w:p w14:paraId="4B7C82C3" w14:textId="77777777" w:rsidR="007D51AE" w:rsidRDefault="00000000">
            <w:pPr>
              <w:spacing w:after="0" w:line="240" w:lineRule="auto"/>
              <w:rPr>
                <w:rFonts w:asciiTheme="majorHAnsi" w:eastAsia="Times New Roman" w:hAnsiTheme="majorHAnsi" w:cstheme="majorHAnsi"/>
                <w:color w:val="000000"/>
                <w:lang w:val="el-GR" w:eastAsia="el-GR"/>
              </w:rPr>
            </w:pPr>
            <w:r>
              <w:rPr>
                <w:rFonts w:asciiTheme="majorHAnsi" w:eastAsia="Times New Roman" w:hAnsiTheme="majorHAnsi" w:cstheme="majorHAnsi"/>
                <w:color w:val="000000"/>
                <w:lang w:val="el-GR" w:eastAsia="el-GR"/>
              </w:rPr>
              <w:t>ΠΑΡΟΧΗ ΝΕΡΟΥ, ΕΠΕΞΕΡΓΑΣΙΑ ΛΥΜΑΤΩΝ, ΔΙΑΧΕΙΡΙΣΗ ΑΠΟΒΛΗΤΩΝ ΚΑΙ ΔΡΑΣΤΗΡΙΟΤΗΤΕΣ ΕΞΥΓΙΑΝΣΗΣ</w:t>
            </w:r>
          </w:p>
        </w:tc>
        <w:tc>
          <w:tcPr>
            <w:tcW w:w="1754" w:type="dxa"/>
            <w:shd w:val="clear" w:color="auto" w:fill="auto"/>
            <w:noWrap/>
            <w:vAlign w:val="bottom"/>
          </w:tcPr>
          <w:p w14:paraId="02B145CA"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2,9%</w:t>
            </w:r>
          </w:p>
        </w:tc>
        <w:tc>
          <w:tcPr>
            <w:tcW w:w="1843" w:type="dxa"/>
            <w:shd w:val="clear" w:color="auto" w:fill="auto"/>
            <w:noWrap/>
            <w:vAlign w:val="bottom"/>
          </w:tcPr>
          <w:p w14:paraId="65CF0CC7"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1,0%</w:t>
            </w:r>
          </w:p>
        </w:tc>
        <w:tc>
          <w:tcPr>
            <w:tcW w:w="1417" w:type="dxa"/>
            <w:shd w:val="clear" w:color="auto" w:fill="auto"/>
            <w:noWrap/>
            <w:vAlign w:val="bottom"/>
          </w:tcPr>
          <w:p w14:paraId="532A298D"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1,0%</w:t>
            </w:r>
          </w:p>
        </w:tc>
      </w:tr>
      <w:tr w:rsidR="007D51AE" w14:paraId="03FC74BC" w14:textId="77777777" w:rsidTr="00596A26">
        <w:trPr>
          <w:trHeight w:val="300"/>
          <w:jc w:val="center"/>
        </w:trPr>
        <w:tc>
          <w:tcPr>
            <w:tcW w:w="2919" w:type="dxa"/>
            <w:shd w:val="clear" w:color="auto" w:fill="auto"/>
            <w:vAlign w:val="bottom"/>
          </w:tcPr>
          <w:p w14:paraId="0752FD1B"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ΚΑΤΑΣΚΕΥΕΣ</w:t>
            </w:r>
          </w:p>
        </w:tc>
        <w:tc>
          <w:tcPr>
            <w:tcW w:w="1754" w:type="dxa"/>
            <w:shd w:val="clear" w:color="auto" w:fill="auto"/>
            <w:noWrap/>
            <w:vAlign w:val="bottom"/>
          </w:tcPr>
          <w:p w14:paraId="15C4AB22"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8,4%</w:t>
            </w:r>
          </w:p>
        </w:tc>
        <w:tc>
          <w:tcPr>
            <w:tcW w:w="1843" w:type="dxa"/>
            <w:shd w:val="clear" w:color="auto" w:fill="auto"/>
            <w:noWrap/>
            <w:vAlign w:val="bottom"/>
          </w:tcPr>
          <w:p w14:paraId="34E60547"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3,4%</w:t>
            </w:r>
          </w:p>
        </w:tc>
        <w:tc>
          <w:tcPr>
            <w:tcW w:w="1417" w:type="dxa"/>
            <w:shd w:val="clear" w:color="auto" w:fill="auto"/>
            <w:noWrap/>
            <w:vAlign w:val="bottom"/>
          </w:tcPr>
          <w:p w14:paraId="77654B08"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3,5%</w:t>
            </w:r>
          </w:p>
        </w:tc>
      </w:tr>
      <w:tr w:rsidR="007D51AE" w14:paraId="1022FD65" w14:textId="77777777" w:rsidTr="00596A26">
        <w:trPr>
          <w:trHeight w:val="900"/>
          <w:jc w:val="center"/>
        </w:trPr>
        <w:tc>
          <w:tcPr>
            <w:tcW w:w="2919" w:type="dxa"/>
            <w:shd w:val="clear" w:color="auto" w:fill="auto"/>
            <w:vAlign w:val="bottom"/>
          </w:tcPr>
          <w:p w14:paraId="07170979" w14:textId="77777777" w:rsidR="007D51AE" w:rsidRDefault="00000000">
            <w:pPr>
              <w:spacing w:after="0" w:line="240" w:lineRule="auto"/>
              <w:rPr>
                <w:rFonts w:asciiTheme="majorHAnsi" w:eastAsia="Times New Roman" w:hAnsiTheme="majorHAnsi" w:cstheme="majorHAnsi"/>
                <w:color w:val="000000"/>
                <w:lang w:val="el-GR" w:eastAsia="el-GR"/>
              </w:rPr>
            </w:pPr>
            <w:r>
              <w:rPr>
                <w:rFonts w:asciiTheme="majorHAnsi" w:eastAsia="Times New Roman" w:hAnsiTheme="majorHAnsi" w:cstheme="majorHAnsi"/>
                <w:color w:val="000000"/>
                <w:lang w:val="el-GR" w:eastAsia="el-GR"/>
              </w:rPr>
              <w:t>ΧΟΝΔΡΙΚΟ ΚΑΙ ΛΙΑΝΙΚΟ ΕΜΠΟΡΙΟ, ΕΠΙΣΚΕΥΗ ΜΗΧΑΝΟΚΙΝΗΤΩΝ ΟΧΗΜΑΤΩΝ ΚΑΙ ΜΟΤΟΣΥΚΛΕΤΩΝ</w:t>
            </w:r>
          </w:p>
        </w:tc>
        <w:tc>
          <w:tcPr>
            <w:tcW w:w="1754" w:type="dxa"/>
            <w:shd w:val="clear" w:color="auto" w:fill="auto"/>
            <w:noWrap/>
            <w:vAlign w:val="bottom"/>
          </w:tcPr>
          <w:p w14:paraId="19D30AC7"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16,0%</w:t>
            </w:r>
          </w:p>
        </w:tc>
        <w:tc>
          <w:tcPr>
            <w:tcW w:w="1843" w:type="dxa"/>
            <w:shd w:val="clear" w:color="auto" w:fill="auto"/>
            <w:noWrap/>
            <w:vAlign w:val="bottom"/>
          </w:tcPr>
          <w:p w14:paraId="5051210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16,8%</w:t>
            </w:r>
          </w:p>
        </w:tc>
        <w:tc>
          <w:tcPr>
            <w:tcW w:w="1417" w:type="dxa"/>
            <w:shd w:val="clear" w:color="auto" w:fill="auto"/>
            <w:noWrap/>
            <w:vAlign w:val="bottom"/>
          </w:tcPr>
          <w:p w14:paraId="536CCDE0"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16,8%</w:t>
            </w:r>
          </w:p>
        </w:tc>
      </w:tr>
      <w:tr w:rsidR="007D51AE" w14:paraId="07DB707E" w14:textId="77777777" w:rsidTr="00596A26">
        <w:trPr>
          <w:trHeight w:val="300"/>
          <w:jc w:val="center"/>
        </w:trPr>
        <w:tc>
          <w:tcPr>
            <w:tcW w:w="2919" w:type="dxa"/>
            <w:shd w:val="clear" w:color="auto" w:fill="auto"/>
            <w:vAlign w:val="bottom"/>
          </w:tcPr>
          <w:p w14:paraId="295FB833"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ΜΕΤΑΦΟΡΑ ΚΑΙ ΑΠΟΘΗΚΕΥΣΗ</w:t>
            </w:r>
          </w:p>
        </w:tc>
        <w:tc>
          <w:tcPr>
            <w:tcW w:w="1754" w:type="dxa"/>
            <w:shd w:val="clear" w:color="auto" w:fill="auto"/>
            <w:noWrap/>
            <w:vAlign w:val="bottom"/>
          </w:tcPr>
          <w:p w14:paraId="582A5252"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3,8%</w:t>
            </w:r>
          </w:p>
        </w:tc>
        <w:tc>
          <w:tcPr>
            <w:tcW w:w="1843" w:type="dxa"/>
            <w:shd w:val="clear" w:color="auto" w:fill="auto"/>
            <w:noWrap/>
            <w:vAlign w:val="bottom"/>
          </w:tcPr>
          <w:p w14:paraId="6AA4ECCD"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4,8%</w:t>
            </w:r>
          </w:p>
        </w:tc>
        <w:tc>
          <w:tcPr>
            <w:tcW w:w="1417" w:type="dxa"/>
            <w:shd w:val="clear" w:color="auto" w:fill="auto"/>
            <w:noWrap/>
            <w:vAlign w:val="bottom"/>
          </w:tcPr>
          <w:p w14:paraId="541D6C95"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4,8%</w:t>
            </w:r>
          </w:p>
        </w:tc>
      </w:tr>
      <w:tr w:rsidR="007D51AE" w14:paraId="5E9FEC9B" w14:textId="77777777" w:rsidTr="00596A26">
        <w:trPr>
          <w:trHeight w:val="600"/>
          <w:jc w:val="center"/>
        </w:trPr>
        <w:tc>
          <w:tcPr>
            <w:tcW w:w="2919" w:type="dxa"/>
            <w:shd w:val="clear" w:color="auto" w:fill="auto"/>
            <w:vAlign w:val="bottom"/>
          </w:tcPr>
          <w:p w14:paraId="08773585" w14:textId="77777777" w:rsidR="007D51AE" w:rsidRDefault="00000000">
            <w:pPr>
              <w:spacing w:after="0" w:line="240" w:lineRule="auto"/>
              <w:rPr>
                <w:rFonts w:asciiTheme="majorHAnsi" w:eastAsia="Times New Roman" w:hAnsiTheme="majorHAnsi" w:cstheme="majorHAnsi"/>
                <w:color w:val="000000"/>
                <w:lang w:val="el-GR" w:eastAsia="el-GR"/>
              </w:rPr>
            </w:pPr>
            <w:r>
              <w:rPr>
                <w:rFonts w:asciiTheme="majorHAnsi" w:eastAsia="Times New Roman" w:hAnsiTheme="majorHAnsi" w:cstheme="majorHAnsi"/>
                <w:color w:val="000000"/>
                <w:lang w:val="el-GR" w:eastAsia="el-GR"/>
              </w:rPr>
              <w:t>ΔΡΑΣΤΗΡΙΟΤΗΤΕΣ ΥΠΗΡΕΣΙΩΝ ΠΑΡΟΧΗΣ ΚΑΤΑΛΥΜΑΤΟΣ ΚΑΙ ΥΠΗΡΕΣΙΩΝ ΕΣΤΙΑΣΗΣ</w:t>
            </w:r>
          </w:p>
        </w:tc>
        <w:tc>
          <w:tcPr>
            <w:tcW w:w="1754" w:type="dxa"/>
            <w:shd w:val="clear" w:color="auto" w:fill="auto"/>
            <w:noWrap/>
            <w:vAlign w:val="bottom"/>
          </w:tcPr>
          <w:p w14:paraId="604CD514"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9,6%</w:t>
            </w:r>
          </w:p>
        </w:tc>
        <w:tc>
          <w:tcPr>
            <w:tcW w:w="1843" w:type="dxa"/>
            <w:shd w:val="clear" w:color="auto" w:fill="auto"/>
            <w:noWrap/>
            <w:vAlign w:val="bottom"/>
          </w:tcPr>
          <w:p w14:paraId="7E974F15"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8,6%</w:t>
            </w:r>
          </w:p>
        </w:tc>
        <w:tc>
          <w:tcPr>
            <w:tcW w:w="1417" w:type="dxa"/>
            <w:shd w:val="clear" w:color="auto" w:fill="auto"/>
            <w:noWrap/>
            <w:vAlign w:val="bottom"/>
          </w:tcPr>
          <w:p w14:paraId="0DC1CB4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8,6%</w:t>
            </w:r>
          </w:p>
        </w:tc>
      </w:tr>
      <w:tr w:rsidR="007D51AE" w14:paraId="71B7EEE6" w14:textId="77777777" w:rsidTr="00596A26">
        <w:trPr>
          <w:trHeight w:val="300"/>
          <w:jc w:val="center"/>
        </w:trPr>
        <w:tc>
          <w:tcPr>
            <w:tcW w:w="2919" w:type="dxa"/>
            <w:shd w:val="clear" w:color="auto" w:fill="auto"/>
            <w:vAlign w:val="bottom"/>
          </w:tcPr>
          <w:p w14:paraId="3844EEA5"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ΕΝΗΜΕΡΩΣΗ ΚΑΙ ΕΠΙΚΟΙΝΩΝΙΑ</w:t>
            </w:r>
          </w:p>
        </w:tc>
        <w:tc>
          <w:tcPr>
            <w:tcW w:w="1754" w:type="dxa"/>
            <w:shd w:val="clear" w:color="auto" w:fill="auto"/>
            <w:noWrap/>
            <w:vAlign w:val="bottom"/>
          </w:tcPr>
          <w:p w14:paraId="4783FED7"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0,0%</w:t>
            </w:r>
          </w:p>
        </w:tc>
        <w:tc>
          <w:tcPr>
            <w:tcW w:w="1843" w:type="dxa"/>
            <w:shd w:val="clear" w:color="auto" w:fill="auto"/>
            <w:noWrap/>
            <w:vAlign w:val="bottom"/>
          </w:tcPr>
          <w:p w14:paraId="2DD4623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2,7%</w:t>
            </w:r>
          </w:p>
        </w:tc>
        <w:tc>
          <w:tcPr>
            <w:tcW w:w="1417" w:type="dxa"/>
            <w:shd w:val="clear" w:color="auto" w:fill="auto"/>
            <w:noWrap/>
            <w:vAlign w:val="bottom"/>
          </w:tcPr>
          <w:p w14:paraId="47C87EDE"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2,6%</w:t>
            </w:r>
          </w:p>
        </w:tc>
      </w:tr>
      <w:tr w:rsidR="007D51AE" w14:paraId="0D2EECEE" w14:textId="77777777" w:rsidTr="00596A26">
        <w:trPr>
          <w:trHeight w:val="600"/>
          <w:jc w:val="center"/>
        </w:trPr>
        <w:tc>
          <w:tcPr>
            <w:tcW w:w="2919" w:type="dxa"/>
            <w:shd w:val="clear" w:color="auto" w:fill="auto"/>
            <w:vAlign w:val="bottom"/>
          </w:tcPr>
          <w:p w14:paraId="3854EF1B"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lastRenderedPageBreak/>
              <w:t>ΧΡΗΜΑΤΟΠΙΣΤΩΤΙΚΕΣ ΚΑΙ ΑΣΦΑΛΙΣΤΙΚΕΣ ΔΡΑΣΤΗΡΙΟΤΗΤΕΣ</w:t>
            </w:r>
          </w:p>
        </w:tc>
        <w:tc>
          <w:tcPr>
            <w:tcW w:w="1754" w:type="dxa"/>
            <w:shd w:val="clear" w:color="auto" w:fill="auto"/>
            <w:noWrap/>
            <w:vAlign w:val="bottom"/>
          </w:tcPr>
          <w:p w14:paraId="2D65BAE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0,0%</w:t>
            </w:r>
          </w:p>
        </w:tc>
        <w:tc>
          <w:tcPr>
            <w:tcW w:w="1843" w:type="dxa"/>
            <w:shd w:val="clear" w:color="auto" w:fill="auto"/>
            <w:noWrap/>
            <w:vAlign w:val="bottom"/>
          </w:tcPr>
          <w:p w14:paraId="32BFC619"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1,8%</w:t>
            </w:r>
          </w:p>
        </w:tc>
        <w:tc>
          <w:tcPr>
            <w:tcW w:w="1417" w:type="dxa"/>
            <w:shd w:val="clear" w:color="auto" w:fill="auto"/>
            <w:noWrap/>
            <w:vAlign w:val="bottom"/>
          </w:tcPr>
          <w:p w14:paraId="021F7DEF"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1,8%</w:t>
            </w:r>
          </w:p>
        </w:tc>
      </w:tr>
      <w:tr w:rsidR="007D51AE" w14:paraId="70291F45" w14:textId="77777777" w:rsidTr="00596A26">
        <w:trPr>
          <w:trHeight w:val="300"/>
          <w:jc w:val="center"/>
        </w:trPr>
        <w:tc>
          <w:tcPr>
            <w:tcW w:w="2919" w:type="dxa"/>
            <w:shd w:val="clear" w:color="auto" w:fill="auto"/>
            <w:vAlign w:val="bottom"/>
          </w:tcPr>
          <w:p w14:paraId="5C44154B"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ΔΙΑΧΕΙΡΙΣΗ ΑΚΙΝΗΤΗΣ ΠΕΡΙΟΥΣΙΑΣ</w:t>
            </w:r>
          </w:p>
        </w:tc>
        <w:tc>
          <w:tcPr>
            <w:tcW w:w="1754" w:type="dxa"/>
            <w:shd w:val="clear" w:color="auto" w:fill="auto"/>
            <w:noWrap/>
            <w:vAlign w:val="bottom"/>
          </w:tcPr>
          <w:p w14:paraId="3AF1BCDF"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0,0%</w:t>
            </w:r>
          </w:p>
        </w:tc>
        <w:tc>
          <w:tcPr>
            <w:tcW w:w="1843" w:type="dxa"/>
            <w:shd w:val="clear" w:color="auto" w:fill="auto"/>
            <w:noWrap/>
            <w:vAlign w:val="bottom"/>
          </w:tcPr>
          <w:p w14:paraId="66E79160"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0,3%</w:t>
            </w:r>
          </w:p>
        </w:tc>
        <w:tc>
          <w:tcPr>
            <w:tcW w:w="1417" w:type="dxa"/>
            <w:shd w:val="clear" w:color="auto" w:fill="auto"/>
            <w:noWrap/>
            <w:vAlign w:val="bottom"/>
          </w:tcPr>
          <w:p w14:paraId="5CC0EBF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0,3%</w:t>
            </w:r>
          </w:p>
        </w:tc>
      </w:tr>
      <w:tr w:rsidR="007D51AE" w14:paraId="16A5A9CB" w14:textId="77777777" w:rsidTr="00596A26">
        <w:trPr>
          <w:trHeight w:val="600"/>
          <w:jc w:val="center"/>
        </w:trPr>
        <w:tc>
          <w:tcPr>
            <w:tcW w:w="2919" w:type="dxa"/>
            <w:shd w:val="clear" w:color="auto" w:fill="auto"/>
            <w:vAlign w:val="bottom"/>
          </w:tcPr>
          <w:p w14:paraId="74A19146" w14:textId="77777777" w:rsidR="007D51AE" w:rsidRDefault="00000000">
            <w:pPr>
              <w:spacing w:after="0" w:line="240" w:lineRule="auto"/>
              <w:rPr>
                <w:rFonts w:asciiTheme="majorHAnsi" w:eastAsia="Times New Roman" w:hAnsiTheme="majorHAnsi" w:cstheme="majorHAnsi"/>
                <w:color w:val="000000"/>
                <w:lang w:val="el-GR" w:eastAsia="el-GR"/>
              </w:rPr>
            </w:pPr>
            <w:r>
              <w:rPr>
                <w:rFonts w:asciiTheme="majorHAnsi" w:eastAsia="Times New Roman" w:hAnsiTheme="majorHAnsi" w:cstheme="majorHAnsi"/>
                <w:color w:val="000000"/>
                <w:lang w:val="el-GR" w:eastAsia="el-GR"/>
              </w:rPr>
              <w:t>ΕΠΑΓΓΕΛΜΑΤΙΚΕΣ, ΕΠΙΣΤΗΜΟΝΙΚΕΣ ΚΑΙ ΤΕΧΝΙΚΕΣ ΔΡΑΣΤΗΡΙΟΤΗΤΕΣ</w:t>
            </w:r>
          </w:p>
        </w:tc>
        <w:tc>
          <w:tcPr>
            <w:tcW w:w="1754" w:type="dxa"/>
            <w:shd w:val="clear" w:color="auto" w:fill="auto"/>
            <w:noWrap/>
            <w:vAlign w:val="bottom"/>
          </w:tcPr>
          <w:p w14:paraId="754F2A54"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2,7%</w:t>
            </w:r>
          </w:p>
        </w:tc>
        <w:tc>
          <w:tcPr>
            <w:tcW w:w="1843" w:type="dxa"/>
            <w:shd w:val="clear" w:color="auto" w:fill="auto"/>
            <w:noWrap/>
            <w:vAlign w:val="bottom"/>
          </w:tcPr>
          <w:p w14:paraId="7917DB1D"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6,3%</w:t>
            </w:r>
          </w:p>
        </w:tc>
        <w:tc>
          <w:tcPr>
            <w:tcW w:w="1417" w:type="dxa"/>
            <w:shd w:val="clear" w:color="auto" w:fill="auto"/>
            <w:noWrap/>
            <w:vAlign w:val="bottom"/>
          </w:tcPr>
          <w:p w14:paraId="233DD874"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6,3%</w:t>
            </w:r>
          </w:p>
        </w:tc>
      </w:tr>
      <w:tr w:rsidR="007D51AE" w14:paraId="0C7CC6FE" w14:textId="77777777" w:rsidTr="00596A26">
        <w:trPr>
          <w:trHeight w:val="600"/>
          <w:jc w:val="center"/>
        </w:trPr>
        <w:tc>
          <w:tcPr>
            <w:tcW w:w="2919" w:type="dxa"/>
            <w:shd w:val="clear" w:color="auto" w:fill="auto"/>
            <w:vAlign w:val="bottom"/>
          </w:tcPr>
          <w:p w14:paraId="6C6F8771"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ΔΙΟΙΚΗΤΙΚΕΣ ΚΑΙ ΥΠΟΣΤΗΡΙΚΤΙΚΕΣ ΔΡΑΣΤΗΡΙΟΤΗΤΕΣ</w:t>
            </w:r>
          </w:p>
        </w:tc>
        <w:tc>
          <w:tcPr>
            <w:tcW w:w="1754" w:type="dxa"/>
            <w:shd w:val="clear" w:color="auto" w:fill="auto"/>
            <w:noWrap/>
            <w:vAlign w:val="bottom"/>
          </w:tcPr>
          <w:p w14:paraId="0DABEAD2"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7,2%</w:t>
            </w:r>
          </w:p>
        </w:tc>
        <w:tc>
          <w:tcPr>
            <w:tcW w:w="1843" w:type="dxa"/>
            <w:shd w:val="clear" w:color="auto" w:fill="auto"/>
            <w:noWrap/>
            <w:vAlign w:val="bottom"/>
          </w:tcPr>
          <w:p w14:paraId="175C3C01"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2,3%</w:t>
            </w:r>
          </w:p>
        </w:tc>
        <w:tc>
          <w:tcPr>
            <w:tcW w:w="1417" w:type="dxa"/>
            <w:shd w:val="clear" w:color="auto" w:fill="auto"/>
            <w:noWrap/>
            <w:vAlign w:val="bottom"/>
          </w:tcPr>
          <w:p w14:paraId="4876B14E"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2,4%</w:t>
            </w:r>
          </w:p>
        </w:tc>
      </w:tr>
      <w:tr w:rsidR="007D51AE" w14:paraId="3241C1E0" w14:textId="77777777" w:rsidTr="00596A26">
        <w:trPr>
          <w:trHeight w:val="600"/>
          <w:jc w:val="center"/>
        </w:trPr>
        <w:tc>
          <w:tcPr>
            <w:tcW w:w="2919" w:type="dxa"/>
            <w:shd w:val="clear" w:color="auto" w:fill="auto"/>
            <w:vAlign w:val="bottom"/>
          </w:tcPr>
          <w:p w14:paraId="29EAC6F5" w14:textId="77777777" w:rsidR="007D51AE" w:rsidRDefault="00000000">
            <w:pPr>
              <w:spacing w:after="0" w:line="240" w:lineRule="auto"/>
              <w:rPr>
                <w:rFonts w:asciiTheme="majorHAnsi" w:eastAsia="Times New Roman" w:hAnsiTheme="majorHAnsi" w:cstheme="majorHAnsi"/>
                <w:lang w:val="el-GR" w:eastAsia="el-GR"/>
              </w:rPr>
            </w:pPr>
            <w:r>
              <w:rPr>
                <w:rFonts w:asciiTheme="majorHAnsi" w:eastAsia="Times New Roman" w:hAnsiTheme="majorHAnsi" w:cstheme="majorHAnsi"/>
                <w:lang w:val="el-GR" w:eastAsia="el-GR"/>
              </w:rPr>
              <w:t>ΔΗΜΟΣΙΑ ΔΙΟΙΚΗΣΗ ΚΑΙ ΑΜΥΝΑ, ΥΠΟΧΡΕΩΤΙΚΗ ΚΟΙΝΩΝΙΚΗ ΑΣΦΑΛΙΣΗ</w:t>
            </w:r>
          </w:p>
        </w:tc>
        <w:tc>
          <w:tcPr>
            <w:tcW w:w="1754" w:type="dxa"/>
            <w:shd w:val="clear" w:color="auto" w:fill="auto"/>
            <w:noWrap/>
            <w:vAlign w:val="bottom"/>
          </w:tcPr>
          <w:p w14:paraId="2EDF5FD3"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9,2%</w:t>
            </w:r>
          </w:p>
        </w:tc>
        <w:tc>
          <w:tcPr>
            <w:tcW w:w="1843" w:type="dxa"/>
            <w:shd w:val="clear" w:color="auto" w:fill="auto"/>
            <w:noWrap/>
            <w:vAlign w:val="bottom"/>
          </w:tcPr>
          <w:p w14:paraId="4A6BEBAE"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9,1%</w:t>
            </w:r>
          </w:p>
        </w:tc>
        <w:tc>
          <w:tcPr>
            <w:tcW w:w="1417" w:type="dxa"/>
            <w:shd w:val="clear" w:color="auto" w:fill="auto"/>
            <w:noWrap/>
            <w:vAlign w:val="bottom"/>
          </w:tcPr>
          <w:p w14:paraId="293D5DBC"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9,1%</w:t>
            </w:r>
          </w:p>
        </w:tc>
      </w:tr>
      <w:tr w:rsidR="007D51AE" w14:paraId="567C29F7" w14:textId="77777777" w:rsidTr="00596A26">
        <w:trPr>
          <w:trHeight w:val="300"/>
          <w:jc w:val="center"/>
        </w:trPr>
        <w:tc>
          <w:tcPr>
            <w:tcW w:w="2919" w:type="dxa"/>
            <w:shd w:val="clear" w:color="auto" w:fill="auto"/>
            <w:vAlign w:val="bottom"/>
          </w:tcPr>
          <w:p w14:paraId="1FB77A48" w14:textId="77777777" w:rsidR="007D51AE" w:rsidRDefault="00000000">
            <w:pPr>
              <w:spacing w:after="0" w:line="240" w:lineRule="auto"/>
              <w:rPr>
                <w:rFonts w:asciiTheme="majorHAnsi" w:eastAsia="Times New Roman" w:hAnsiTheme="majorHAnsi" w:cstheme="majorHAnsi"/>
                <w:lang w:eastAsia="el-GR"/>
              </w:rPr>
            </w:pPr>
            <w:r>
              <w:rPr>
                <w:rFonts w:asciiTheme="majorHAnsi" w:eastAsia="Times New Roman" w:hAnsiTheme="majorHAnsi" w:cstheme="majorHAnsi"/>
                <w:lang w:eastAsia="el-GR"/>
              </w:rPr>
              <w:t>ΕΚΠΑΙΔΕΥΣΗ</w:t>
            </w:r>
          </w:p>
        </w:tc>
        <w:tc>
          <w:tcPr>
            <w:tcW w:w="1754" w:type="dxa"/>
            <w:shd w:val="clear" w:color="auto" w:fill="auto"/>
            <w:noWrap/>
            <w:vAlign w:val="bottom"/>
          </w:tcPr>
          <w:p w14:paraId="5CDACFB5"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4,6%</w:t>
            </w:r>
          </w:p>
        </w:tc>
        <w:tc>
          <w:tcPr>
            <w:tcW w:w="1843" w:type="dxa"/>
            <w:shd w:val="clear" w:color="auto" w:fill="auto"/>
            <w:noWrap/>
            <w:vAlign w:val="bottom"/>
          </w:tcPr>
          <w:p w14:paraId="515F2B65"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8,8%</w:t>
            </w:r>
          </w:p>
        </w:tc>
        <w:tc>
          <w:tcPr>
            <w:tcW w:w="1417" w:type="dxa"/>
            <w:shd w:val="clear" w:color="auto" w:fill="auto"/>
            <w:noWrap/>
            <w:vAlign w:val="bottom"/>
          </w:tcPr>
          <w:p w14:paraId="4B1096F6"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8,7%</w:t>
            </w:r>
          </w:p>
        </w:tc>
      </w:tr>
      <w:tr w:rsidR="007D51AE" w14:paraId="46CD5925" w14:textId="77777777" w:rsidTr="00596A26">
        <w:trPr>
          <w:trHeight w:val="900"/>
          <w:jc w:val="center"/>
        </w:trPr>
        <w:tc>
          <w:tcPr>
            <w:tcW w:w="2919" w:type="dxa"/>
            <w:shd w:val="clear" w:color="auto" w:fill="auto"/>
            <w:vAlign w:val="bottom"/>
          </w:tcPr>
          <w:p w14:paraId="7462D752" w14:textId="77777777" w:rsidR="007D51AE" w:rsidRDefault="00000000">
            <w:pPr>
              <w:spacing w:after="0" w:line="240" w:lineRule="auto"/>
              <w:rPr>
                <w:rFonts w:asciiTheme="majorHAnsi" w:eastAsia="Times New Roman" w:hAnsiTheme="majorHAnsi" w:cstheme="majorHAnsi"/>
                <w:lang w:val="el-GR" w:eastAsia="el-GR"/>
              </w:rPr>
            </w:pPr>
            <w:r>
              <w:rPr>
                <w:rFonts w:asciiTheme="majorHAnsi" w:eastAsia="Times New Roman" w:hAnsiTheme="majorHAnsi" w:cstheme="majorHAnsi"/>
                <w:lang w:val="el-GR" w:eastAsia="el-GR"/>
              </w:rPr>
              <w:t>ΔΡΑΣΤΗΡΙΟΤΗΤΕΣ ΣΧΕΤΙΚΕΣ ΜΕ ΤΗΝ ΑΝΘΡΩΠΙΝΗ ΥΓΕΙΑ ΚΑΙ ΤΗΝ ΚΟΙΝΩΝΙΚΗ ΜΕΡΙΜΝΑ</w:t>
            </w:r>
          </w:p>
        </w:tc>
        <w:tc>
          <w:tcPr>
            <w:tcW w:w="1754" w:type="dxa"/>
            <w:shd w:val="clear" w:color="auto" w:fill="auto"/>
            <w:noWrap/>
            <w:vAlign w:val="bottom"/>
          </w:tcPr>
          <w:p w14:paraId="0EEB68E4"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9,8%</w:t>
            </w:r>
          </w:p>
        </w:tc>
        <w:tc>
          <w:tcPr>
            <w:tcW w:w="1843" w:type="dxa"/>
            <w:shd w:val="clear" w:color="auto" w:fill="auto"/>
            <w:noWrap/>
            <w:vAlign w:val="bottom"/>
          </w:tcPr>
          <w:p w14:paraId="7823AF4B"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7,1%</w:t>
            </w:r>
          </w:p>
        </w:tc>
        <w:tc>
          <w:tcPr>
            <w:tcW w:w="1417" w:type="dxa"/>
            <w:shd w:val="clear" w:color="auto" w:fill="auto"/>
            <w:noWrap/>
            <w:vAlign w:val="bottom"/>
          </w:tcPr>
          <w:p w14:paraId="0C08C07E"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7,2%</w:t>
            </w:r>
          </w:p>
        </w:tc>
      </w:tr>
      <w:tr w:rsidR="007D51AE" w14:paraId="1A547864" w14:textId="77777777" w:rsidTr="00596A26">
        <w:trPr>
          <w:trHeight w:val="300"/>
          <w:jc w:val="center"/>
        </w:trPr>
        <w:tc>
          <w:tcPr>
            <w:tcW w:w="2919" w:type="dxa"/>
            <w:shd w:val="clear" w:color="auto" w:fill="auto"/>
            <w:vAlign w:val="bottom"/>
          </w:tcPr>
          <w:p w14:paraId="4EE1C332"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ΤΕΧΝΕΣ, ΔΙΑΣΚΕΔΑΣΗ ΚΑΙ ΨΥΧΑΓΩΓΙΑ</w:t>
            </w:r>
          </w:p>
        </w:tc>
        <w:tc>
          <w:tcPr>
            <w:tcW w:w="1754" w:type="dxa"/>
            <w:shd w:val="clear" w:color="auto" w:fill="auto"/>
            <w:noWrap/>
            <w:vAlign w:val="bottom"/>
          </w:tcPr>
          <w:p w14:paraId="460A3E70"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1,1%</w:t>
            </w:r>
          </w:p>
        </w:tc>
        <w:tc>
          <w:tcPr>
            <w:tcW w:w="1843" w:type="dxa"/>
            <w:shd w:val="clear" w:color="auto" w:fill="auto"/>
            <w:noWrap/>
            <w:vAlign w:val="bottom"/>
          </w:tcPr>
          <w:p w14:paraId="120A306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1,2%</w:t>
            </w:r>
          </w:p>
        </w:tc>
        <w:tc>
          <w:tcPr>
            <w:tcW w:w="1417" w:type="dxa"/>
            <w:shd w:val="clear" w:color="auto" w:fill="auto"/>
            <w:noWrap/>
            <w:vAlign w:val="bottom"/>
          </w:tcPr>
          <w:p w14:paraId="2BEF6723"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1,2%</w:t>
            </w:r>
          </w:p>
        </w:tc>
      </w:tr>
      <w:tr w:rsidR="007D51AE" w14:paraId="23351668" w14:textId="77777777" w:rsidTr="00596A26">
        <w:trPr>
          <w:trHeight w:val="600"/>
          <w:jc w:val="center"/>
        </w:trPr>
        <w:tc>
          <w:tcPr>
            <w:tcW w:w="2919" w:type="dxa"/>
            <w:shd w:val="clear" w:color="auto" w:fill="auto"/>
            <w:vAlign w:val="bottom"/>
          </w:tcPr>
          <w:p w14:paraId="359B6387"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ΑΛΛΕΣ ΔΡΑΣΤΗΡΙΟΤΗΤΕΣ ΠΑΡΟΧΗΣ ΥΠΗΡΕΣΙΩΝ</w:t>
            </w:r>
          </w:p>
        </w:tc>
        <w:tc>
          <w:tcPr>
            <w:tcW w:w="1754" w:type="dxa"/>
            <w:shd w:val="clear" w:color="auto" w:fill="auto"/>
            <w:noWrap/>
            <w:vAlign w:val="bottom"/>
          </w:tcPr>
          <w:p w14:paraId="25460BA9"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1,4%</w:t>
            </w:r>
          </w:p>
        </w:tc>
        <w:tc>
          <w:tcPr>
            <w:tcW w:w="1843" w:type="dxa"/>
            <w:shd w:val="clear" w:color="auto" w:fill="auto"/>
            <w:noWrap/>
            <w:vAlign w:val="bottom"/>
          </w:tcPr>
          <w:p w14:paraId="0B3A0F2A"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2,2%</w:t>
            </w:r>
          </w:p>
        </w:tc>
        <w:tc>
          <w:tcPr>
            <w:tcW w:w="1417" w:type="dxa"/>
            <w:shd w:val="clear" w:color="auto" w:fill="auto"/>
            <w:noWrap/>
            <w:vAlign w:val="bottom"/>
          </w:tcPr>
          <w:p w14:paraId="4D647DA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2,2%</w:t>
            </w:r>
          </w:p>
        </w:tc>
      </w:tr>
      <w:tr w:rsidR="007D51AE" w14:paraId="2F9FFBE8" w14:textId="77777777" w:rsidTr="00596A26">
        <w:trPr>
          <w:trHeight w:val="1709"/>
          <w:jc w:val="center"/>
        </w:trPr>
        <w:tc>
          <w:tcPr>
            <w:tcW w:w="2919" w:type="dxa"/>
            <w:shd w:val="clear" w:color="auto" w:fill="auto"/>
            <w:vAlign w:val="bottom"/>
          </w:tcPr>
          <w:p w14:paraId="46A96A19" w14:textId="77777777" w:rsidR="007D51AE" w:rsidRDefault="00000000">
            <w:pPr>
              <w:spacing w:after="0" w:line="240" w:lineRule="auto"/>
              <w:rPr>
                <w:rFonts w:asciiTheme="majorHAnsi" w:eastAsia="Times New Roman" w:hAnsiTheme="majorHAnsi" w:cstheme="majorHAnsi"/>
                <w:color w:val="000000"/>
                <w:lang w:val="el-GR" w:eastAsia="el-GR"/>
              </w:rPr>
            </w:pPr>
            <w:r>
              <w:rPr>
                <w:rFonts w:asciiTheme="majorHAnsi" w:eastAsia="Times New Roman" w:hAnsiTheme="majorHAnsi" w:cstheme="majorHAnsi"/>
                <w:color w:val="000000"/>
                <w:lang w:val="el-GR" w:eastAsia="el-GR"/>
              </w:rPr>
              <w:t>ΔΡΑΣΤΗΡΙΟΤΗΤΕΣ ΝΟΙΚΟΚΥΡΙΩΝ ΩΣ ΕΡΓΟΔΟΤΩΝ, ΜΗ ΔΙΑΦΟΡΟΠΟΙΗΜΕΝΕΣ ΔΡΑΣΤΗΡΙΟΤΗΤΕΣ ΝΟΙΚΟΚΥΡΙΩΝ, ΠΟΥ ΑΦΟΡΟΥΝ ΤΗΝ ΠΑΡΑΓΩΓΗ ΑΓΑΘΩΝ</w:t>
            </w:r>
          </w:p>
        </w:tc>
        <w:tc>
          <w:tcPr>
            <w:tcW w:w="1754" w:type="dxa"/>
            <w:shd w:val="clear" w:color="auto" w:fill="auto"/>
            <w:noWrap/>
            <w:vAlign w:val="bottom"/>
          </w:tcPr>
          <w:p w14:paraId="6C582482"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1,0%</w:t>
            </w:r>
          </w:p>
        </w:tc>
        <w:tc>
          <w:tcPr>
            <w:tcW w:w="1843" w:type="dxa"/>
            <w:shd w:val="clear" w:color="auto" w:fill="auto"/>
            <w:noWrap/>
            <w:vAlign w:val="bottom"/>
          </w:tcPr>
          <w:p w14:paraId="0C7D90DB"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0,8%</w:t>
            </w:r>
          </w:p>
        </w:tc>
        <w:tc>
          <w:tcPr>
            <w:tcW w:w="1417" w:type="dxa"/>
            <w:shd w:val="clear" w:color="auto" w:fill="auto"/>
            <w:noWrap/>
            <w:vAlign w:val="bottom"/>
          </w:tcPr>
          <w:p w14:paraId="482ADE53"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0,8%</w:t>
            </w:r>
          </w:p>
        </w:tc>
      </w:tr>
      <w:tr w:rsidR="007D51AE" w14:paraId="7CD3396C" w14:textId="77777777" w:rsidTr="00596A26">
        <w:trPr>
          <w:trHeight w:val="600"/>
          <w:jc w:val="center"/>
        </w:trPr>
        <w:tc>
          <w:tcPr>
            <w:tcW w:w="2919" w:type="dxa"/>
            <w:shd w:val="clear" w:color="auto" w:fill="auto"/>
            <w:vAlign w:val="bottom"/>
          </w:tcPr>
          <w:p w14:paraId="278FC062" w14:textId="77777777" w:rsidR="007D51AE" w:rsidRDefault="00000000">
            <w:pPr>
              <w:spacing w:after="0" w:line="240" w:lineRule="auto"/>
              <w:rPr>
                <w:rFonts w:asciiTheme="majorHAnsi" w:eastAsia="Times New Roman" w:hAnsiTheme="majorHAnsi" w:cstheme="majorHAnsi"/>
                <w:color w:val="000000"/>
                <w:lang w:val="el-GR" w:eastAsia="el-GR"/>
              </w:rPr>
            </w:pPr>
            <w:r>
              <w:rPr>
                <w:rFonts w:asciiTheme="majorHAnsi" w:eastAsia="Times New Roman" w:hAnsiTheme="majorHAnsi" w:cstheme="majorHAnsi"/>
                <w:color w:val="000000"/>
                <w:lang w:val="el-GR" w:eastAsia="el-GR"/>
              </w:rPr>
              <w:t>ΔΡΑΣΤΗΡΙΟΤΗΤΕΣ ΕΤΕΡΟΔΙΚΩΝ ΟΡΓΑΝΙΣΜΩΝ ΚΑΙ ΦΟΡΕΩΝ</w:t>
            </w:r>
          </w:p>
        </w:tc>
        <w:tc>
          <w:tcPr>
            <w:tcW w:w="1754" w:type="dxa"/>
            <w:shd w:val="clear" w:color="auto" w:fill="auto"/>
            <w:noWrap/>
            <w:vAlign w:val="bottom"/>
          </w:tcPr>
          <w:p w14:paraId="50D445EB"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0,0%</w:t>
            </w:r>
          </w:p>
        </w:tc>
        <w:tc>
          <w:tcPr>
            <w:tcW w:w="1843" w:type="dxa"/>
            <w:shd w:val="clear" w:color="auto" w:fill="auto"/>
            <w:noWrap/>
            <w:vAlign w:val="bottom"/>
          </w:tcPr>
          <w:p w14:paraId="7A8B2BCC"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0,1%</w:t>
            </w:r>
          </w:p>
        </w:tc>
        <w:tc>
          <w:tcPr>
            <w:tcW w:w="1417" w:type="dxa"/>
            <w:shd w:val="clear" w:color="auto" w:fill="auto"/>
            <w:noWrap/>
            <w:vAlign w:val="bottom"/>
          </w:tcPr>
          <w:p w14:paraId="481C32BC"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0,1%</w:t>
            </w:r>
          </w:p>
        </w:tc>
      </w:tr>
    </w:tbl>
    <w:p w14:paraId="4E4EF05A" w14:textId="77777777" w:rsidR="007D51AE" w:rsidRDefault="007D51AE">
      <w:pPr>
        <w:rPr>
          <w:lang w:eastAsia="de-DE"/>
        </w:rPr>
      </w:pPr>
    </w:p>
    <w:p w14:paraId="37244236" w14:textId="77777777" w:rsidR="007D51AE" w:rsidRDefault="00000000">
      <w:pPr>
        <w:pStyle w:val="2"/>
        <w:tabs>
          <w:tab w:val="left" w:pos="360"/>
        </w:tabs>
        <w:spacing w:before="360" w:after="240"/>
        <w:ind w:left="426" w:right="-142" w:hanging="578"/>
      </w:pPr>
      <w:bookmarkStart w:id="24" w:name="_Toc145080428"/>
      <w:r>
        <w:t>Μέθοδοι εύρεσης εργασίας και αναπηρία</w:t>
      </w:r>
      <w:bookmarkEnd w:id="24"/>
    </w:p>
    <w:p w14:paraId="050CED8F" w14:textId="77777777" w:rsidR="007D51AE" w:rsidRDefault="00000000">
      <w:pPr>
        <w:jc w:val="both"/>
        <w:rPr>
          <w:sz w:val="24"/>
          <w:szCs w:val="24"/>
          <w:lang w:val="el-GR"/>
        </w:rPr>
      </w:pPr>
      <w:r>
        <w:rPr>
          <w:sz w:val="24"/>
          <w:szCs w:val="24"/>
          <w:lang w:val="el-GR"/>
        </w:rPr>
        <w:t xml:space="preserve">Ενδιαφέροντα ευρήματα προκύπτουν από την ανάλυση των στοιχείων αναφορικά με την μέθοδο εύρεσης εργασίας που αξιοποιήθηκε επιτυχώς από τους εργαζόμενους με αναπηρία αναφορικά με την τρέχουσα απασχόλησή τους. Η πλειονότητα των εργαζομένων με αναπηρία, και σε σημαντικά υψηλότερο ποσοστό σε σύγκριση με τα </w:t>
      </w:r>
      <w:r>
        <w:rPr>
          <w:sz w:val="24"/>
          <w:szCs w:val="24"/>
          <w:lang w:val="el-GR"/>
        </w:rPr>
        <w:lastRenderedPageBreak/>
        <w:t xml:space="preserve">άτομα χωρίς αναπηρία, αναφέρουν ότι βρήκαν την εργασία τους μέσω φίλων, συγγενών ή γνωστών. </w:t>
      </w:r>
    </w:p>
    <w:p w14:paraId="5C02358E" w14:textId="77777777" w:rsidR="007D51AE" w:rsidRDefault="00000000">
      <w:pPr>
        <w:jc w:val="both"/>
        <w:rPr>
          <w:sz w:val="24"/>
          <w:szCs w:val="24"/>
          <w:lang w:val="el-GR"/>
        </w:rPr>
      </w:pPr>
      <w:r>
        <w:rPr>
          <w:sz w:val="24"/>
          <w:szCs w:val="24"/>
          <w:lang w:val="el-GR"/>
        </w:rPr>
        <w:t xml:space="preserve">Ειδικότερα το 57% των ατόμων με αναπηρία βρήκαν εργασία μέσω φίλων, συγγενών ή γνωστών, έναντι του 38% των ατόμων χωρίς αναπηρία που βασίστηκαν στο κοινωνικό τους δίκτυο για να βρουν εργασία. Ιδιαίτερα χαμηλό είναι το ποσοστό των ατόμων με αναπηρία που βρήκε εργασία μέσω του ΟΑΕΔ, καθώς και αυτών που απευθύνθηκε σε εργοδότες. Το ποσοστό των ατόμων με αναπηρία που αναφέρει την απάντηση σε αγγελία ως επιτυχή τρόπο εύρεσης εργασίας είναι σχεδόν μηδενικό. </w:t>
      </w:r>
    </w:p>
    <w:p w14:paraId="5BCD61AD" w14:textId="77777777" w:rsidR="007D51AE" w:rsidRDefault="00000000">
      <w:pPr>
        <w:jc w:val="both"/>
        <w:rPr>
          <w:sz w:val="24"/>
          <w:szCs w:val="24"/>
          <w:lang w:val="el-GR"/>
        </w:rPr>
      </w:pPr>
      <w:r>
        <w:rPr>
          <w:sz w:val="24"/>
          <w:szCs w:val="24"/>
          <w:lang w:val="el-GR"/>
        </w:rPr>
        <w:t xml:space="preserve">Τα εν λόγω ευρήματα επιβεβαιώνουν τον σοβαρό αποκλεισμό των ατόμων με αναπηρία από το εργασιακό πεδίο, με το δικαίωμα τους για πρόσβαση στην εργασία να επαφίεται στις ευκαιρίες και δυνατότητες που προσφέρονται μέσω του προσωπικού κοινωνικού τους κύκλου. </w:t>
      </w:r>
    </w:p>
    <w:p w14:paraId="7129028F" w14:textId="77777777" w:rsidR="007D51AE" w:rsidRDefault="007D51AE">
      <w:pPr>
        <w:rPr>
          <w:lang w:val="el-GR"/>
        </w:rPr>
      </w:pPr>
    </w:p>
    <w:p w14:paraId="4D542A8C" w14:textId="19E87182" w:rsidR="007D51AE" w:rsidRDefault="00000000" w:rsidP="00596A26">
      <w:pPr>
        <w:pStyle w:val="a4"/>
        <w:keepNext/>
        <w:jc w:val="center"/>
        <w:rPr>
          <w:lang w:val="el-GR" w:eastAsia="de-DE"/>
        </w:rPr>
      </w:pPr>
      <w:r>
        <w:rPr>
          <w:rFonts w:asciiTheme="majorHAnsi" w:eastAsia="Times New Roman" w:hAnsiTheme="majorHAnsi" w:cstheme="majorHAnsi"/>
          <w:b/>
          <w:bCs/>
          <w:color w:val="2F5496" w:themeColor="accent1" w:themeShade="BF"/>
          <w:sz w:val="26"/>
          <w:szCs w:val="26"/>
          <w:lang w:val="el-GR" w:eastAsia="de-DE"/>
        </w:rPr>
        <w:t xml:space="preserve">Πίνακας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Πίνακας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sidR="00436DBE">
        <w:rPr>
          <w:rFonts w:asciiTheme="majorHAnsi" w:eastAsia="Times New Roman" w:hAnsiTheme="majorHAnsi" w:cstheme="majorHAnsi"/>
          <w:b/>
          <w:bCs/>
          <w:noProof/>
          <w:color w:val="2F5496" w:themeColor="accent1" w:themeShade="BF"/>
          <w:sz w:val="26"/>
          <w:szCs w:val="26"/>
          <w:lang w:eastAsia="de-DE"/>
        </w:rPr>
        <w:t>3</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xml:space="preserve">: Επιτυχής μέθοδος εύρεσης της τρέχουσας εργασίας και </w:t>
      </w:r>
      <w:r w:rsidR="00596A26">
        <w:rPr>
          <w:rFonts w:asciiTheme="majorHAnsi" w:eastAsia="Times New Roman" w:hAnsiTheme="majorHAnsi" w:cstheme="majorHAnsi"/>
          <w:b/>
          <w:bCs/>
          <w:color w:val="2F5496" w:themeColor="accent1" w:themeShade="BF"/>
          <w:sz w:val="26"/>
          <w:szCs w:val="26"/>
          <w:lang w:val="el-GR" w:eastAsia="de-DE"/>
        </w:rPr>
        <w:br/>
      </w:r>
      <w:r>
        <w:rPr>
          <w:rFonts w:asciiTheme="majorHAnsi" w:eastAsia="Times New Roman" w:hAnsiTheme="majorHAnsi" w:cstheme="majorHAnsi"/>
          <w:b/>
          <w:bCs/>
          <w:color w:val="2F5496" w:themeColor="accent1" w:themeShade="BF"/>
          <w:sz w:val="26"/>
          <w:szCs w:val="26"/>
          <w:lang w:val="el-GR" w:eastAsia="de-DE"/>
        </w:rPr>
        <w:t>κατάσταση αναπηρίας (Εργαζόμενοι 20-64 ετών)</w:t>
      </w:r>
    </w:p>
    <w:tbl>
      <w:tblPr>
        <w:tblW w:w="7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1350"/>
        <w:gridCol w:w="1551"/>
        <w:gridCol w:w="1225"/>
      </w:tblGrid>
      <w:tr w:rsidR="007D51AE" w14:paraId="06ACF97D" w14:textId="77777777" w:rsidTr="00596A26">
        <w:trPr>
          <w:trHeight w:val="776"/>
          <w:jc w:val="center"/>
        </w:trPr>
        <w:tc>
          <w:tcPr>
            <w:tcW w:w="3414" w:type="dxa"/>
            <w:shd w:val="clear" w:color="auto" w:fill="auto"/>
            <w:vAlign w:val="bottom"/>
          </w:tcPr>
          <w:p w14:paraId="30F12DC7" w14:textId="77777777" w:rsidR="007D51AE" w:rsidRPr="00596A26" w:rsidRDefault="00000000">
            <w:pPr>
              <w:spacing w:after="0" w:line="240" w:lineRule="auto"/>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 </w:t>
            </w:r>
          </w:p>
        </w:tc>
        <w:tc>
          <w:tcPr>
            <w:tcW w:w="1350" w:type="dxa"/>
            <w:shd w:val="clear" w:color="auto" w:fill="auto"/>
            <w:vAlign w:val="bottom"/>
          </w:tcPr>
          <w:p w14:paraId="2F75FADE" w14:textId="77777777" w:rsidR="007D51AE" w:rsidRPr="00596A26" w:rsidRDefault="00000000">
            <w:pPr>
              <w:spacing w:after="0" w:line="240" w:lineRule="auto"/>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Με αναπηρία</w:t>
            </w:r>
          </w:p>
        </w:tc>
        <w:tc>
          <w:tcPr>
            <w:tcW w:w="1551" w:type="dxa"/>
            <w:shd w:val="clear" w:color="auto" w:fill="auto"/>
            <w:vAlign w:val="bottom"/>
          </w:tcPr>
          <w:p w14:paraId="5C25ECBD" w14:textId="77777777" w:rsidR="007D51AE" w:rsidRPr="00596A26" w:rsidRDefault="00000000">
            <w:pPr>
              <w:spacing w:after="0" w:line="240" w:lineRule="auto"/>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χωρίς αναπηρία</w:t>
            </w:r>
          </w:p>
        </w:tc>
        <w:tc>
          <w:tcPr>
            <w:tcW w:w="1225" w:type="dxa"/>
            <w:shd w:val="clear" w:color="auto" w:fill="auto"/>
            <w:vAlign w:val="bottom"/>
          </w:tcPr>
          <w:p w14:paraId="35F8038D" w14:textId="77777777" w:rsidR="007D51AE" w:rsidRPr="00596A26" w:rsidRDefault="00000000">
            <w:pPr>
              <w:spacing w:after="0" w:line="240" w:lineRule="auto"/>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Συνολικός πληθυσμός</w:t>
            </w:r>
          </w:p>
        </w:tc>
      </w:tr>
      <w:tr w:rsidR="007D51AE" w14:paraId="38B3B481" w14:textId="77777777" w:rsidTr="00596A26">
        <w:trPr>
          <w:trHeight w:val="300"/>
          <w:jc w:val="center"/>
        </w:trPr>
        <w:tc>
          <w:tcPr>
            <w:tcW w:w="3414" w:type="dxa"/>
            <w:shd w:val="clear" w:color="auto" w:fill="auto"/>
            <w:vAlign w:val="bottom"/>
          </w:tcPr>
          <w:p w14:paraId="34EBEBE7" w14:textId="77777777" w:rsidR="007D51AE" w:rsidRPr="00596A26" w:rsidRDefault="00000000">
            <w:pPr>
              <w:spacing w:after="0" w:line="240" w:lineRule="auto"/>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Μέσω του ΟΑΕΔ</w:t>
            </w:r>
          </w:p>
        </w:tc>
        <w:tc>
          <w:tcPr>
            <w:tcW w:w="1350" w:type="dxa"/>
            <w:shd w:val="clear" w:color="auto" w:fill="auto"/>
            <w:vAlign w:val="bottom"/>
          </w:tcPr>
          <w:p w14:paraId="59C5DF4C"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9,9%</w:t>
            </w:r>
          </w:p>
        </w:tc>
        <w:tc>
          <w:tcPr>
            <w:tcW w:w="1551" w:type="dxa"/>
            <w:shd w:val="clear" w:color="auto" w:fill="auto"/>
            <w:vAlign w:val="bottom"/>
          </w:tcPr>
          <w:p w14:paraId="17145368"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17,8%</w:t>
            </w:r>
          </w:p>
        </w:tc>
        <w:tc>
          <w:tcPr>
            <w:tcW w:w="1225" w:type="dxa"/>
            <w:shd w:val="clear" w:color="auto" w:fill="auto"/>
            <w:noWrap/>
            <w:vAlign w:val="bottom"/>
          </w:tcPr>
          <w:p w14:paraId="01D08CBC" w14:textId="77777777" w:rsidR="007D51AE" w:rsidRPr="00596A26" w:rsidRDefault="00000000">
            <w:pPr>
              <w:spacing w:after="0" w:line="240" w:lineRule="auto"/>
              <w:jc w:val="right"/>
              <w:rPr>
                <w:rFonts w:ascii="Calibri" w:eastAsia="Times New Roman" w:hAnsi="Calibri" w:cs="Calibri"/>
                <w:color w:val="000000"/>
                <w:lang w:val="el-GR" w:eastAsia="el-GR"/>
              </w:rPr>
            </w:pPr>
            <w:r w:rsidRPr="00596A26">
              <w:rPr>
                <w:rFonts w:ascii="Calibri" w:eastAsia="Times New Roman" w:hAnsi="Calibri" w:cs="Calibri"/>
                <w:color w:val="000000"/>
                <w:lang w:val="el-GR" w:eastAsia="el-GR"/>
              </w:rPr>
              <w:t>17,7%</w:t>
            </w:r>
          </w:p>
        </w:tc>
      </w:tr>
      <w:tr w:rsidR="007D51AE" w14:paraId="45FF07A2" w14:textId="77777777" w:rsidTr="00596A26">
        <w:trPr>
          <w:trHeight w:val="300"/>
          <w:jc w:val="center"/>
        </w:trPr>
        <w:tc>
          <w:tcPr>
            <w:tcW w:w="3414" w:type="dxa"/>
            <w:shd w:val="clear" w:color="auto" w:fill="auto"/>
            <w:vAlign w:val="bottom"/>
          </w:tcPr>
          <w:p w14:paraId="61209926" w14:textId="77777777" w:rsidR="007D51AE" w:rsidRPr="00596A26" w:rsidRDefault="00000000">
            <w:pPr>
              <w:spacing w:after="0" w:line="240" w:lineRule="auto"/>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Μέσω φίλων συγγενών ή γνωστών</w:t>
            </w:r>
          </w:p>
        </w:tc>
        <w:tc>
          <w:tcPr>
            <w:tcW w:w="1350" w:type="dxa"/>
            <w:shd w:val="clear" w:color="auto" w:fill="auto"/>
            <w:vAlign w:val="bottom"/>
          </w:tcPr>
          <w:p w14:paraId="3AA020F2"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56,3%</w:t>
            </w:r>
          </w:p>
        </w:tc>
        <w:tc>
          <w:tcPr>
            <w:tcW w:w="1551" w:type="dxa"/>
            <w:shd w:val="clear" w:color="auto" w:fill="auto"/>
            <w:vAlign w:val="bottom"/>
          </w:tcPr>
          <w:p w14:paraId="2C1CAB19"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37,5%</w:t>
            </w:r>
          </w:p>
        </w:tc>
        <w:tc>
          <w:tcPr>
            <w:tcW w:w="1225" w:type="dxa"/>
            <w:shd w:val="clear" w:color="auto" w:fill="auto"/>
            <w:noWrap/>
            <w:vAlign w:val="bottom"/>
          </w:tcPr>
          <w:p w14:paraId="62DCA6FC" w14:textId="77777777" w:rsidR="007D51AE" w:rsidRPr="00596A26" w:rsidRDefault="00000000">
            <w:pPr>
              <w:spacing w:after="0" w:line="240" w:lineRule="auto"/>
              <w:jc w:val="right"/>
              <w:rPr>
                <w:rFonts w:ascii="Calibri" w:eastAsia="Times New Roman" w:hAnsi="Calibri" w:cs="Calibri"/>
                <w:color w:val="000000"/>
                <w:lang w:val="el-GR" w:eastAsia="el-GR"/>
              </w:rPr>
            </w:pPr>
            <w:r w:rsidRPr="00596A26">
              <w:rPr>
                <w:rFonts w:ascii="Calibri" w:eastAsia="Times New Roman" w:hAnsi="Calibri" w:cs="Calibri"/>
                <w:color w:val="000000"/>
                <w:lang w:val="el-GR" w:eastAsia="el-GR"/>
              </w:rPr>
              <w:t>37,7%</w:t>
            </w:r>
          </w:p>
        </w:tc>
      </w:tr>
      <w:tr w:rsidR="007D51AE" w14:paraId="1E1DFB42" w14:textId="77777777" w:rsidTr="00596A26">
        <w:trPr>
          <w:trHeight w:val="600"/>
          <w:jc w:val="center"/>
        </w:trPr>
        <w:tc>
          <w:tcPr>
            <w:tcW w:w="3414" w:type="dxa"/>
            <w:shd w:val="clear" w:color="auto" w:fill="auto"/>
            <w:vAlign w:val="bottom"/>
          </w:tcPr>
          <w:p w14:paraId="63D4B5E1" w14:textId="77777777" w:rsidR="007D51AE" w:rsidRPr="00596A26" w:rsidRDefault="00000000">
            <w:pPr>
              <w:spacing w:after="0" w:line="240" w:lineRule="auto"/>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Απάντησε σε αγγελίες (έντυπες ή στο ιντερνέτ)…</w:t>
            </w:r>
          </w:p>
        </w:tc>
        <w:tc>
          <w:tcPr>
            <w:tcW w:w="1350" w:type="dxa"/>
            <w:shd w:val="clear" w:color="auto" w:fill="auto"/>
            <w:vAlign w:val="bottom"/>
          </w:tcPr>
          <w:p w14:paraId="72526562"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0,0%</w:t>
            </w:r>
          </w:p>
        </w:tc>
        <w:tc>
          <w:tcPr>
            <w:tcW w:w="1551" w:type="dxa"/>
            <w:shd w:val="clear" w:color="auto" w:fill="auto"/>
            <w:vAlign w:val="bottom"/>
          </w:tcPr>
          <w:p w14:paraId="5E0848FA"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2,0%</w:t>
            </w:r>
          </w:p>
        </w:tc>
        <w:tc>
          <w:tcPr>
            <w:tcW w:w="1225" w:type="dxa"/>
            <w:shd w:val="clear" w:color="auto" w:fill="auto"/>
            <w:noWrap/>
            <w:vAlign w:val="bottom"/>
          </w:tcPr>
          <w:p w14:paraId="7EE479B4" w14:textId="77777777" w:rsidR="007D51AE" w:rsidRPr="00596A26" w:rsidRDefault="00000000">
            <w:pPr>
              <w:spacing w:after="0" w:line="240" w:lineRule="auto"/>
              <w:jc w:val="right"/>
              <w:rPr>
                <w:rFonts w:ascii="Calibri" w:eastAsia="Times New Roman" w:hAnsi="Calibri" w:cs="Calibri"/>
                <w:color w:val="000000"/>
                <w:lang w:val="el-GR" w:eastAsia="el-GR"/>
              </w:rPr>
            </w:pPr>
            <w:r w:rsidRPr="00596A26">
              <w:rPr>
                <w:rFonts w:ascii="Calibri" w:eastAsia="Times New Roman" w:hAnsi="Calibri" w:cs="Calibri"/>
                <w:color w:val="000000"/>
                <w:lang w:val="el-GR" w:eastAsia="el-GR"/>
              </w:rPr>
              <w:t>1,9%</w:t>
            </w:r>
          </w:p>
        </w:tc>
      </w:tr>
      <w:tr w:rsidR="007D51AE" w14:paraId="25A876B2" w14:textId="77777777" w:rsidTr="00596A26">
        <w:trPr>
          <w:trHeight w:val="600"/>
          <w:jc w:val="center"/>
        </w:trPr>
        <w:tc>
          <w:tcPr>
            <w:tcW w:w="3414" w:type="dxa"/>
            <w:shd w:val="clear" w:color="auto" w:fill="auto"/>
            <w:vAlign w:val="bottom"/>
          </w:tcPr>
          <w:p w14:paraId="7F3CD908" w14:textId="77777777" w:rsidR="007D51AE" w:rsidRPr="00596A26" w:rsidRDefault="00000000">
            <w:pPr>
              <w:spacing w:after="0" w:line="240" w:lineRule="auto"/>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Μέσω ιδιωτικού γραφείου ευρέσεως εργασίας…</w:t>
            </w:r>
          </w:p>
        </w:tc>
        <w:tc>
          <w:tcPr>
            <w:tcW w:w="1350" w:type="dxa"/>
            <w:shd w:val="clear" w:color="auto" w:fill="auto"/>
            <w:vAlign w:val="bottom"/>
          </w:tcPr>
          <w:p w14:paraId="5C5F01BD"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0,0%</w:t>
            </w:r>
          </w:p>
        </w:tc>
        <w:tc>
          <w:tcPr>
            <w:tcW w:w="1551" w:type="dxa"/>
            <w:shd w:val="clear" w:color="auto" w:fill="auto"/>
            <w:vAlign w:val="bottom"/>
          </w:tcPr>
          <w:p w14:paraId="43D296FD"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0,2%</w:t>
            </w:r>
          </w:p>
        </w:tc>
        <w:tc>
          <w:tcPr>
            <w:tcW w:w="1225" w:type="dxa"/>
            <w:shd w:val="clear" w:color="auto" w:fill="auto"/>
            <w:noWrap/>
            <w:vAlign w:val="bottom"/>
          </w:tcPr>
          <w:p w14:paraId="00F72DE6" w14:textId="77777777" w:rsidR="007D51AE" w:rsidRPr="00596A26" w:rsidRDefault="00000000">
            <w:pPr>
              <w:spacing w:after="0" w:line="240" w:lineRule="auto"/>
              <w:jc w:val="right"/>
              <w:rPr>
                <w:rFonts w:ascii="Calibri" w:eastAsia="Times New Roman" w:hAnsi="Calibri" w:cs="Calibri"/>
                <w:color w:val="000000"/>
                <w:lang w:val="el-GR" w:eastAsia="el-GR"/>
              </w:rPr>
            </w:pPr>
            <w:r w:rsidRPr="00596A26">
              <w:rPr>
                <w:rFonts w:ascii="Calibri" w:eastAsia="Times New Roman" w:hAnsi="Calibri" w:cs="Calibri"/>
                <w:color w:val="000000"/>
                <w:lang w:val="el-GR" w:eastAsia="el-GR"/>
              </w:rPr>
              <w:t>0,2%</w:t>
            </w:r>
          </w:p>
        </w:tc>
      </w:tr>
      <w:tr w:rsidR="007D51AE" w14:paraId="5B0ED722" w14:textId="77777777" w:rsidTr="00596A26">
        <w:trPr>
          <w:trHeight w:val="900"/>
          <w:jc w:val="center"/>
        </w:trPr>
        <w:tc>
          <w:tcPr>
            <w:tcW w:w="3414" w:type="dxa"/>
            <w:shd w:val="clear" w:color="auto" w:fill="auto"/>
            <w:vAlign w:val="bottom"/>
          </w:tcPr>
          <w:p w14:paraId="4ADE4F99" w14:textId="77777777" w:rsidR="007D51AE" w:rsidRPr="00596A26" w:rsidRDefault="00000000">
            <w:pPr>
              <w:spacing w:after="0" w:line="240" w:lineRule="auto"/>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Μέσω εκπαιδευτικού ιδρύματος, προγράμματος μαθητείας ή προηγούμενης εργασιακής εμπειρίας</w:t>
            </w:r>
          </w:p>
        </w:tc>
        <w:tc>
          <w:tcPr>
            <w:tcW w:w="1350" w:type="dxa"/>
            <w:shd w:val="clear" w:color="auto" w:fill="auto"/>
            <w:vAlign w:val="bottom"/>
          </w:tcPr>
          <w:p w14:paraId="4DA08A1E"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0,0%</w:t>
            </w:r>
          </w:p>
        </w:tc>
        <w:tc>
          <w:tcPr>
            <w:tcW w:w="1551" w:type="dxa"/>
            <w:shd w:val="clear" w:color="auto" w:fill="auto"/>
            <w:vAlign w:val="bottom"/>
          </w:tcPr>
          <w:p w14:paraId="22DF87DA"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2,1%</w:t>
            </w:r>
          </w:p>
        </w:tc>
        <w:tc>
          <w:tcPr>
            <w:tcW w:w="1225" w:type="dxa"/>
            <w:shd w:val="clear" w:color="auto" w:fill="auto"/>
            <w:noWrap/>
            <w:vAlign w:val="bottom"/>
          </w:tcPr>
          <w:p w14:paraId="746B7FB2" w14:textId="77777777" w:rsidR="007D51AE" w:rsidRPr="00596A26" w:rsidRDefault="00000000">
            <w:pPr>
              <w:spacing w:after="0" w:line="240" w:lineRule="auto"/>
              <w:jc w:val="right"/>
              <w:rPr>
                <w:rFonts w:ascii="Calibri" w:eastAsia="Times New Roman" w:hAnsi="Calibri" w:cs="Calibri"/>
                <w:color w:val="000000"/>
                <w:lang w:val="el-GR" w:eastAsia="el-GR"/>
              </w:rPr>
            </w:pPr>
            <w:r w:rsidRPr="00596A26">
              <w:rPr>
                <w:rFonts w:ascii="Calibri" w:eastAsia="Times New Roman" w:hAnsi="Calibri" w:cs="Calibri"/>
                <w:color w:val="000000"/>
                <w:lang w:val="el-GR" w:eastAsia="el-GR"/>
              </w:rPr>
              <w:t>2,1%</w:t>
            </w:r>
          </w:p>
        </w:tc>
      </w:tr>
      <w:tr w:rsidR="007D51AE" w14:paraId="205FA753" w14:textId="77777777" w:rsidTr="00596A26">
        <w:trPr>
          <w:trHeight w:val="300"/>
          <w:jc w:val="center"/>
        </w:trPr>
        <w:tc>
          <w:tcPr>
            <w:tcW w:w="3414" w:type="dxa"/>
            <w:shd w:val="clear" w:color="auto" w:fill="auto"/>
            <w:vAlign w:val="bottom"/>
          </w:tcPr>
          <w:p w14:paraId="63601CC6" w14:textId="77777777" w:rsidR="007D51AE" w:rsidRPr="00596A26" w:rsidRDefault="00000000">
            <w:pPr>
              <w:spacing w:after="0" w:line="240" w:lineRule="auto"/>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Απευθύνθηκε άμεσα σε εργοδότες</w:t>
            </w:r>
          </w:p>
        </w:tc>
        <w:tc>
          <w:tcPr>
            <w:tcW w:w="1350" w:type="dxa"/>
            <w:shd w:val="clear" w:color="auto" w:fill="auto"/>
            <w:vAlign w:val="bottom"/>
          </w:tcPr>
          <w:p w14:paraId="793CC792"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9,8%</w:t>
            </w:r>
          </w:p>
        </w:tc>
        <w:tc>
          <w:tcPr>
            <w:tcW w:w="1551" w:type="dxa"/>
            <w:shd w:val="clear" w:color="auto" w:fill="auto"/>
            <w:vAlign w:val="bottom"/>
          </w:tcPr>
          <w:p w14:paraId="2BC11E9B"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13,5%</w:t>
            </w:r>
          </w:p>
        </w:tc>
        <w:tc>
          <w:tcPr>
            <w:tcW w:w="1225" w:type="dxa"/>
            <w:shd w:val="clear" w:color="auto" w:fill="auto"/>
            <w:noWrap/>
            <w:vAlign w:val="bottom"/>
          </w:tcPr>
          <w:p w14:paraId="2ABFEFCF" w14:textId="77777777" w:rsidR="007D51AE" w:rsidRPr="00596A26" w:rsidRDefault="00000000">
            <w:pPr>
              <w:spacing w:after="0" w:line="240" w:lineRule="auto"/>
              <w:jc w:val="right"/>
              <w:rPr>
                <w:rFonts w:ascii="Calibri" w:eastAsia="Times New Roman" w:hAnsi="Calibri" w:cs="Calibri"/>
                <w:color w:val="000000"/>
                <w:lang w:val="el-GR" w:eastAsia="el-GR"/>
              </w:rPr>
            </w:pPr>
            <w:r w:rsidRPr="00596A26">
              <w:rPr>
                <w:rFonts w:ascii="Calibri" w:eastAsia="Times New Roman" w:hAnsi="Calibri" w:cs="Calibri"/>
                <w:color w:val="000000"/>
                <w:lang w:val="el-GR" w:eastAsia="el-GR"/>
              </w:rPr>
              <w:t>13,4%</w:t>
            </w:r>
          </w:p>
        </w:tc>
      </w:tr>
      <w:tr w:rsidR="007D51AE" w14:paraId="385FC0A4" w14:textId="77777777" w:rsidTr="00596A26">
        <w:trPr>
          <w:trHeight w:val="900"/>
          <w:jc w:val="center"/>
        </w:trPr>
        <w:tc>
          <w:tcPr>
            <w:tcW w:w="3414" w:type="dxa"/>
            <w:shd w:val="clear" w:color="auto" w:fill="auto"/>
            <w:vAlign w:val="bottom"/>
          </w:tcPr>
          <w:p w14:paraId="10A2EDCD" w14:textId="77777777" w:rsidR="007D51AE" w:rsidRPr="00596A26" w:rsidRDefault="00000000">
            <w:pPr>
              <w:spacing w:after="0" w:line="240" w:lineRule="auto"/>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Ο εργοδότης ή μια εταιρεία προσέλκυσης στελεχών του απευθύνθηκε άμεσα</w:t>
            </w:r>
          </w:p>
        </w:tc>
        <w:tc>
          <w:tcPr>
            <w:tcW w:w="1350" w:type="dxa"/>
            <w:shd w:val="clear" w:color="auto" w:fill="auto"/>
            <w:vAlign w:val="bottom"/>
          </w:tcPr>
          <w:p w14:paraId="5589925C"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0,0%</w:t>
            </w:r>
          </w:p>
        </w:tc>
        <w:tc>
          <w:tcPr>
            <w:tcW w:w="1551" w:type="dxa"/>
            <w:shd w:val="clear" w:color="auto" w:fill="auto"/>
            <w:vAlign w:val="bottom"/>
          </w:tcPr>
          <w:p w14:paraId="19C0B8CD"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1,6%</w:t>
            </w:r>
          </w:p>
        </w:tc>
        <w:tc>
          <w:tcPr>
            <w:tcW w:w="1225" w:type="dxa"/>
            <w:shd w:val="clear" w:color="auto" w:fill="auto"/>
            <w:noWrap/>
            <w:vAlign w:val="bottom"/>
          </w:tcPr>
          <w:p w14:paraId="117E6119" w14:textId="77777777" w:rsidR="007D51AE" w:rsidRPr="00596A26" w:rsidRDefault="00000000">
            <w:pPr>
              <w:spacing w:after="0" w:line="240" w:lineRule="auto"/>
              <w:jc w:val="right"/>
              <w:rPr>
                <w:rFonts w:ascii="Calibri" w:eastAsia="Times New Roman" w:hAnsi="Calibri" w:cs="Calibri"/>
                <w:color w:val="000000"/>
                <w:lang w:val="el-GR" w:eastAsia="el-GR"/>
              </w:rPr>
            </w:pPr>
            <w:r w:rsidRPr="00596A26">
              <w:rPr>
                <w:rFonts w:ascii="Calibri" w:eastAsia="Times New Roman" w:hAnsi="Calibri" w:cs="Calibri"/>
                <w:color w:val="000000"/>
                <w:lang w:val="el-GR" w:eastAsia="el-GR"/>
              </w:rPr>
              <w:t>1,6%</w:t>
            </w:r>
          </w:p>
        </w:tc>
      </w:tr>
      <w:tr w:rsidR="007D51AE" w14:paraId="7024170F" w14:textId="77777777" w:rsidTr="00596A26">
        <w:trPr>
          <w:trHeight w:val="600"/>
          <w:jc w:val="center"/>
        </w:trPr>
        <w:tc>
          <w:tcPr>
            <w:tcW w:w="3414" w:type="dxa"/>
            <w:shd w:val="clear" w:color="auto" w:fill="auto"/>
            <w:vAlign w:val="bottom"/>
          </w:tcPr>
          <w:p w14:paraId="4C6E3522" w14:textId="77777777" w:rsidR="007D51AE" w:rsidRPr="00596A26" w:rsidRDefault="00000000">
            <w:pPr>
              <w:spacing w:after="0" w:line="240" w:lineRule="auto"/>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Συμμετείχε σε διαγωνισμό του δημοσίου</w:t>
            </w:r>
          </w:p>
        </w:tc>
        <w:tc>
          <w:tcPr>
            <w:tcW w:w="1350" w:type="dxa"/>
            <w:shd w:val="clear" w:color="auto" w:fill="auto"/>
            <w:vAlign w:val="bottom"/>
          </w:tcPr>
          <w:p w14:paraId="3AF94639"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2,7%</w:t>
            </w:r>
          </w:p>
        </w:tc>
        <w:tc>
          <w:tcPr>
            <w:tcW w:w="1551" w:type="dxa"/>
            <w:shd w:val="clear" w:color="auto" w:fill="auto"/>
            <w:vAlign w:val="bottom"/>
          </w:tcPr>
          <w:p w14:paraId="0807CFA1"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6,8%</w:t>
            </w:r>
          </w:p>
        </w:tc>
        <w:tc>
          <w:tcPr>
            <w:tcW w:w="1225" w:type="dxa"/>
            <w:shd w:val="clear" w:color="auto" w:fill="auto"/>
            <w:noWrap/>
            <w:vAlign w:val="bottom"/>
          </w:tcPr>
          <w:p w14:paraId="2EB4FB94" w14:textId="77777777" w:rsidR="007D51AE" w:rsidRPr="00596A26" w:rsidRDefault="00000000">
            <w:pPr>
              <w:spacing w:after="0" w:line="240" w:lineRule="auto"/>
              <w:jc w:val="right"/>
              <w:rPr>
                <w:rFonts w:ascii="Calibri" w:eastAsia="Times New Roman" w:hAnsi="Calibri" w:cs="Calibri"/>
                <w:color w:val="000000"/>
                <w:lang w:val="el-GR" w:eastAsia="el-GR"/>
              </w:rPr>
            </w:pPr>
            <w:r w:rsidRPr="00596A26">
              <w:rPr>
                <w:rFonts w:ascii="Calibri" w:eastAsia="Times New Roman" w:hAnsi="Calibri" w:cs="Calibri"/>
                <w:color w:val="000000"/>
                <w:lang w:val="el-GR" w:eastAsia="el-GR"/>
              </w:rPr>
              <w:t>6,8%</w:t>
            </w:r>
          </w:p>
        </w:tc>
      </w:tr>
      <w:tr w:rsidR="007D51AE" w14:paraId="32769F18" w14:textId="77777777" w:rsidTr="00596A26">
        <w:trPr>
          <w:trHeight w:val="300"/>
          <w:jc w:val="center"/>
        </w:trPr>
        <w:tc>
          <w:tcPr>
            <w:tcW w:w="3414" w:type="dxa"/>
            <w:shd w:val="clear" w:color="auto" w:fill="auto"/>
            <w:vAlign w:val="bottom"/>
          </w:tcPr>
          <w:p w14:paraId="3395806D" w14:textId="77777777" w:rsidR="007D51AE" w:rsidRPr="00596A26" w:rsidRDefault="00000000">
            <w:pPr>
              <w:spacing w:after="0" w:line="240" w:lineRule="auto"/>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Άλλη μέθοδος</w:t>
            </w:r>
          </w:p>
        </w:tc>
        <w:tc>
          <w:tcPr>
            <w:tcW w:w="1350" w:type="dxa"/>
            <w:shd w:val="clear" w:color="auto" w:fill="auto"/>
            <w:vAlign w:val="bottom"/>
          </w:tcPr>
          <w:p w14:paraId="096CB7AF"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21,4%</w:t>
            </w:r>
          </w:p>
        </w:tc>
        <w:tc>
          <w:tcPr>
            <w:tcW w:w="1551" w:type="dxa"/>
            <w:shd w:val="clear" w:color="auto" w:fill="auto"/>
            <w:vAlign w:val="bottom"/>
          </w:tcPr>
          <w:p w14:paraId="2ACF5F23"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15,4%</w:t>
            </w:r>
          </w:p>
        </w:tc>
        <w:tc>
          <w:tcPr>
            <w:tcW w:w="1225" w:type="dxa"/>
            <w:shd w:val="clear" w:color="auto" w:fill="auto"/>
            <w:noWrap/>
            <w:vAlign w:val="bottom"/>
          </w:tcPr>
          <w:p w14:paraId="70817BC8" w14:textId="77777777" w:rsidR="007D51AE" w:rsidRPr="00596A26" w:rsidRDefault="00000000">
            <w:pPr>
              <w:spacing w:after="0" w:line="240" w:lineRule="auto"/>
              <w:jc w:val="right"/>
              <w:rPr>
                <w:rFonts w:ascii="Calibri" w:eastAsia="Times New Roman" w:hAnsi="Calibri" w:cs="Calibri"/>
                <w:color w:val="000000"/>
                <w:lang w:val="el-GR" w:eastAsia="el-GR"/>
              </w:rPr>
            </w:pPr>
            <w:r w:rsidRPr="00596A26">
              <w:rPr>
                <w:rFonts w:ascii="Calibri" w:eastAsia="Times New Roman" w:hAnsi="Calibri" w:cs="Calibri"/>
                <w:color w:val="000000"/>
                <w:lang w:val="el-GR" w:eastAsia="el-GR"/>
              </w:rPr>
              <w:t>15,5%</w:t>
            </w:r>
          </w:p>
        </w:tc>
      </w:tr>
      <w:tr w:rsidR="007D51AE" w14:paraId="2288065D" w14:textId="77777777" w:rsidTr="00596A26">
        <w:trPr>
          <w:trHeight w:val="300"/>
          <w:jc w:val="center"/>
        </w:trPr>
        <w:tc>
          <w:tcPr>
            <w:tcW w:w="3414" w:type="dxa"/>
            <w:shd w:val="clear" w:color="auto" w:fill="auto"/>
            <w:vAlign w:val="bottom"/>
          </w:tcPr>
          <w:p w14:paraId="0BC223E1" w14:textId="77777777" w:rsidR="007D51AE" w:rsidRPr="00596A26" w:rsidRDefault="00000000">
            <w:pPr>
              <w:spacing w:after="0" w:line="240" w:lineRule="auto"/>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Δεν γνωρίζω/Δεν απαντώ</w:t>
            </w:r>
          </w:p>
        </w:tc>
        <w:tc>
          <w:tcPr>
            <w:tcW w:w="1350" w:type="dxa"/>
            <w:shd w:val="clear" w:color="auto" w:fill="auto"/>
            <w:vAlign w:val="bottom"/>
          </w:tcPr>
          <w:p w14:paraId="31E71F25"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0,0%</w:t>
            </w:r>
          </w:p>
        </w:tc>
        <w:tc>
          <w:tcPr>
            <w:tcW w:w="1551" w:type="dxa"/>
            <w:shd w:val="clear" w:color="auto" w:fill="auto"/>
            <w:vAlign w:val="bottom"/>
          </w:tcPr>
          <w:p w14:paraId="0AA28EF5" w14:textId="77777777" w:rsidR="007D51AE" w:rsidRPr="00596A26" w:rsidRDefault="00000000">
            <w:pPr>
              <w:spacing w:after="0" w:line="240" w:lineRule="auto"/>
              <w:jc w:val="right"/>
              <w:rPr>
                <w:rFonts w:ascii="Calibri Light" w:eastAsia="Times New Roman" w:hAnsi="Calibri Light" w:cs="Calibri Light"/>
                <w:color w:val="000000"/>
                <w:lang w:val="el-GR" w:eastAsia="el-GR"/>
              </w:rPr>
            </w:pPr>
            <w:r w:rsidRPr="00596A26">
              <w:rPr>
                <w:rFonts w:ascii="Calibri Light" w:eastAsia="Times New Roman" w:hAnsi="Calibri Light" w:cs="Calibri Light"/>
                <w:color w:val="000000"/>
                <w:lang w:val="el-GR" w:eastAsia="el-GR"/>
              </w:rPr>
              <w:t>3,1%</w:t>
            </w:r>
          </w:p>
        </w:tc>
        <w:tc>
          <w:tcPr>
            <w:tcW w:w="1225" w:type="dxa"/>
            <w:shd w:val="clear" w:color="auto" w:fill="auto"/>
            <w:noWrap/>
            <w:vAlign w:val="bottom"/>
          </w:tcPr>
          <w:p w14:paraId="19530F8B" w14:textId="77777777" w:rsidR="007D51AE" w:rsidRPr="00596A26" w:rsidRDefault="00000000">
            <w:pPr>
              <w:spacing w:after="0" w:line="240" w:lineRule="auto"/>
              <w:jc w:val="right"/>
              <w:rPr>
                <w:rFonts w:ascii="Calibri" w:eastAsia="Times New Roman" w:hAnsi="Calibri" w:cs="Calibri"/>
                <w:color w:val="000000"/>
                <w:lang w:val="el-GR" w:eastAsia="el-GR"/>
              </w:rPr>
            </w:pPr>
            <w:r w:rsidRPr="00596A26">
              <w:rPr>
                <w:rFonts w:ascii="Calibri" w:eastAsia="Times New Roman" w:hAnsi="Calibri" w:cs="Calibri"/>
                <w:color w:val="000000"/>
                <w:lang w:val="el-GR" w:eastAsia="el-GR"/>
              </w:rPr>
              <w:t>3,1%</w:t>
            </w:r>
          </w:p>
        </w:tc>
      </w:tr>
    </w:tbl>
    <w:p w14:paraId="5768E078" w14:textId="77777777" w:rsidR="007D51AE" w:rsidRDefault="007D51AE">
      <w:pPr>
        <w:rPr>
          <w:lang w:eastAsia="de-DE"/>
        </w:rPr>
      </w:pPr>
    </w:p>
    <w:p w14:paraId="6D784EC2" w14:textId="77777777" w:rsidR="007D51AE" w:rsidRDefault="00000000">
      <w:pPr>
        <w:pStyle w:val="2"/>
        <w:tabs>
          <w:tab w:val="left" w:pos="360"/>
        </w:tabs>
        <w:spacing w:before="360" w:after="240"/>
        <w:ind w:left="426" w:right="-142" w:hanging="578"/>
      </w:pPr>
      <w:bookmarkStart w:id="25" w:name="_Toc145080429"/>
      <w:r>
        <w:lastRenderedPageBreak/>
        <w:t>Νέοι και πρώιμη ενήλικη ζωή: άτομα με αναπηρία 15-44 ετών</w:t>
      </w:r>
      <w:bookmarkEnd w:id="25"/>
    </w:p>
    <w:p w14:paraId="3B724949" w14:textId="4962F606" w:rsidR="007D51AE" w:rsidRDefault="00000000">
      <w:pPr>
        <w:jc w:val="both"/>
        <w:rPr>
          <w:sz w:val="24"/>
          <w:szCs w:val="24"/>
          <w:lang w:val="el-GR"/>
        </w:rPr>
      </w:pPr>
      <w:r>
        <w:rPr>
          <w:sz w:val="24"/>
          <w:szCs w:val="24"/>
          <w:lang w:val="el-GR"/>
        </w:rPr>
        <w:t>Ως προς τα δημογραφικά χαρακτηριστικά, η ηλικιακή ομάδα των νέων και ενηλίκων έως 44 ετών διαφοροποιείται σημαντικά σε σύγκριση με τον συνολικό πληθυσμό ως προς την κατανομή του φύλου.</w:t>
      </w:r>
      <w:r w:rsidR="00B44236">
        <w:rPr>
          <w:sz w:val="24"/>
          <w:szCs w:val="24"/>
          <w:lang w:val="el-GR"/>
        </w:rPr>
        <w:t xml:space="preserve"> </w:t>
      </w:r>
    </w:p>
    <w:p w14:paraId="2A724312" w14:textId="77777777" w:rsidR="007D51AE" w:rsidRDefault="00000000">
      <w:pPr>
        <w:jc w:val="both"/>
        <w:rPr>
          <w:sz w:val="24"/>
          <w:szCs w:val="24"/>
          <w:lang w:val="el-GR"/>
        </w:rPr>
      </w:pPr>
      <w:r>
        <w:rPr>
          <w:sz w:val="24"/>
          <w:szCs w:val="24"/>
          <w:lang w:val="el-GR"/>
        </w:rPr>
        <w:t xml:space="preserve">Ενώ στον συνολικό πληθυσμό με αναπηρία διαπιστώθηκε μια ελαφριά υπεροχή του γυναικείου φύλου, στους 15-44, όπως φαίνεται στο γράφημα 8, υπερέχουν σε σημαντικά μεγαλύτερο ποσοστό οι άντρες. </w:t>
      </w:r>
    </w:p>
    <w:p w14:paraId="7C83E34D" w14:textId="77777777" w:rsidR="007D51AE" w:rsidRDefault="007D51AE">
      <w:pPr>
        <w:rPr>
          <w:lang w:val="el-GR"/>
        </w:rPr>
      </w:pPr>
    </w:p>
    <w:p w14:paraId="6AB3F20A" w14:textId="41E3C562" w:rsidR="007D51AE" w:rsidRDefault="00000000" w:rsidP="00596A26">
      <w:pPr>
        <w:pStyle w:val="a4"/>
        <w:keepNext/>
        <w:jc w:val="center"/>
        <w:rPr>
          <w:rFonts w:asciiTheme="majorHAnsi" w:eastAsia="Times New Roman" w:hAnsiTheme="majorHAnsi" w:cstheme="majorHAnsi"/>
          <w:b/>
          <w:bCs/>
          <w:color w:val="2F5496" w:themeColor="accent1" w:themeShade="BF"/>
          <w:sz w:val="26"/>
          <w:szCs w:val="26"/>
          <w:lang w:val="el-GR" w:eastAsia="de-DE"/>
        </w:rPr>
      </w:pPr>
      <w:bookmarkStart w:id="26" w:name="_Toc145080451"/>
      <w:r>
        <w:rPr>
          <w:rFonts w:asciiTheme="majorHAnsi" w:eastAsia="Times New Roman" w:hAnsiTheme="majorHAnsi" w:cstheme="majorHAnsi"/>
          <w:b/>
          <w:bCs/>
          <w:color w:val="2F5496" w:themeColor="accent1" w:themeShade="BF"/>
          <w:sz w:val="26"/>
          <w:szCs w:val="26"/>
          <w:lang w:val="el-GR" w:eastAsia="de-DE"/>
        </w:rPr>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sidR="00436DBE">
        <w:rPr>
          <w:rFonts w:asciiTheme="majorHAnsi" w:eastAsia="Times New Roman" w:hAnsiTheme="majorHAnsi" w:cstheme="majorHAnsi"/>
          <w:b/>
          <w:bCs/>
          <w:noProof/>
          <w:color w:val="2F5496" w:themeColor="accent1" w:themeShade="BF"/>
          <w:sz w:val="26"/>
          <w:szCs w:val="26"/>
          <w:lang w:eastAsia="de-DE"/>
        </w:rPr>
        <w:t>8</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Νέοι και ενήλικες 15-44 ετών: κατανομή ανά φύλο και κατάσταση αναπηρίας</w:t>
      </w:r>
      <w:bookmarkEnd w:id="26"/>
    </w:p>
    <w:p w14:paraId="14594739" w14:textId="77777777" w:rsidR="007D51AE" w:rsidRDefault="00000000" w:rsidP="00596A26">
      <w:pPr>
        <w:jc w:val="center"/>
      </w:pPr>
      <w:r>
        <w:rPr>
          <w:noProof/>
        </w:rPr>
        <w:drawing>
          <wp:inline distT="0" distB="0" distL="0" distR="0" wp14:anchorId="1F4FD485" wp14:editId="002B1080">
            <wp:extent cx="4834890" cy="2508885"/>
            <wp:effectExtent l="0" t="0" r="3810" b="5715"/>
            <wp:docPr id="1936592865" name="Γράφημα 1" descr="Με αναπηρία: 63,9% άνδρες και 36,1% γυναίκες&#10;Χωρίς αναπηρία: 50,8% άνδρες και 49,2% γυναίκες"/>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C28A68" w14:textId="77777777" w:rsidR="007D51AE" w:rsidRDefault="00000000">
      <w:pPr>
        <w:jc w:val="both"/>
        <w:rPr>
          <w:sz w:val="24"/>
          <w:szCs w:val="24"/>
          <w:lang w:val="el-GR"/>
        </w:rPr>
      </w:pPr>
      <w:bookmarkStart w:id="27" w:name="_Hlk145071336"/>
      <w:r>
        <w:rPr>
          <w:sz w:val="24"/>
          <w:szCs w:val="24"/>
          <w:lang w:val="el-GR"/>
        </w:rPr>
        <w:t xml:space="preserve">Ο δείκτης συμμετοχής στο εργατικό δυναμικό (απασχολούμενοι και άνεργοι) στους νέους και ενήλικες έως 44 ετών βρίσκεται στο χαμηλό επίπεδο του 16%. </w:t>
      </w:r>
      <w:bookmarkEnd w:id="27"/>
    </w:p>
    <w:p w14:paraId="6644BF1A" w14:textId="77777777" w:rsidR="007D51AE" w:rsidRDefault="00000000">
      <w:pPr>
        <w:jc w:val="both"/>
        <w:rPr>
          <w:sz w:val="24"/>
          <w:szCs w:val="24"/>
          <w:lang w:val="el-GR"/>
        </w:rPr>
      </w:pPr>
      <w:r>
        <w:rPr>
          <w:sz w:val="24"/>
          <w:szCs w:val="24"/>
          <w:lang w:val="el-GR"/>
        </w:rPr>
        <w:t xml:space="preserve">Με άλλα λόγια, το 84% των ατόμων 15-44 ετών αποτελούν οικονομικά ανενεργό πληθυσμό. Αναλύοντας τα στοιχεία με βάση το φύλο προκύπτει ότι ο ανενεργός πληθυσμός είναι ακόμα υψηλότερος στους άνδρες σε σύγκριση με τις γυναίκες (Άνδρες: 85,7%/ Γυναίκες: 81,1%), διαφορές που ωστόσο δεν έχουν ιδιαίτερη αξία όταν αναφερόμαστε σε αυτά τα συντριπτικά -σε κάθε περίπτωση- ποσοστά. </w:t>
      </w:r>
    </w:p>
    <w:p w14:paraId="76642414" w14:textId="77777777" w:rsidR="007D51AE" w:rsidRDefault="00000000">
      <w:pPr>
        <w:jc w:val="both"/>
        <w:rPr>
          <w:sz w:val="24"/>
          <w:szCs w:val="24"/>
          <w:lang w:val="el-GR"/>
        </w:rPr>
      </w:pPr>
      <w:r>
        <w:rPr>
          <w:sz w:val="24"/>
          <w:szCs w:val="24"/>
          <w:lang w:val="el-GR"/>
        </w:rPr>
        <w:t xml:space="preserve">Γενικά αξίζει να σημειωθεί ότι, η πρόσβαση στην απασχόληση δεν φαίνεται να διαφοροποιείται σημαντικά μεταξύ των ανδρών και των γυναικών με αναπηρία. Γίνεται φανερό και εδώ ότι η αναπηρία αποτελεί παράγοντα τόσο σοβαρής διάκρισης, που σε πολλά πεδία </w:t>
      </w:r>
      <w:proofErr w:type="spellStart"/>
      <w:r>
        <w:rPr>
          <w:sz w:val="24"/>
          <w:szCs w:val="24"/>
          <w:lang w:val="el-GR"/>
        </w:rPr>
        <w:t>υπερσκελίζει</w:t>
      </w:r>
      <w:proofErr w:type="spellEnd"/>
      <w:r>
        <w:rPr>
          <w:sz w:val="24"/>
          <w:szCs w:val="24"/>
          <w:lang w:val="el-GR"/>
        </w:rPr>
        <w:t xml:space="preserve"> και την διάσταση των </w:t>
      </w:r>
      <w:proofErr w:type="spellStart"/>
      <w:r>
        <w:rPr>
          <w:sz w:val="24"/>
          <w:szCs w:val="24"/>
          <w:lang w:val="el-GR"/>
        </w:rPr>
        <w:t>έμφυλων</w:t>
      </w:r>
      <w:proofErr w:type="spellEnd"/>
      <w:r>
        <w:rPr>
          <w:sz w:val="24"/>
          <w:szCs w:val="24"/>
          <w:lang w:val="el-GR"/>
        </w:rPr>
        <w:t xml:space="preserve"> ανισοτήτων. </w:t>
      </w:r>
    </w:p>
    <w:p w14:paraId="0FD44AB8" w14:textId="16E82F55" w:rsidR="007D51AE" w:rsidRDefault="00000000" w:rsidP="00596A26">
      <w:pPr>
        <w:pStyle w:val="a4"/>
        <w:keepNext/>
        <w:jc w:val="center"/>
        <w:rPr>
          <w:rFonts w:asciiTheme="majorHAnsi" w:eastAsia="Times New Roman" w:hAnsiTheme="majorHAnsi" w:cstheme="majorHAnsi"/>
          <w:b/>
          <w:bCs/>
          <w:color w:val="2F5496" w:themeColor="accent1" w:themeShade="BF"/>
          <w:sz w:val="26"/>
          <w:szCs w:val="26"/>
          <w:lang w:val="el-GR" w:eastAsia="de-DE"/>
        </w:rPr>
      </w:pPr>
      <w:bookmarkStart w:id="28" w:name="_Toc145080452"/>
      <w:r>
        <w:rPr>
          <w:rFonts w:asciiTheme="majorHAnsi" w:eastAsia="Times New Roman" w:hAnsiTheme="majorHAnsi" w:cstheme="majorHAnsi"/>
          <w:b/>
          <w:bCs/>
          <w:color w:val="2F5496" w:themeColor="accent1" w:themeShade="BF"/>
          <w:sz w:val="26"/>
          <w:szCs w:val="26"/>
          <w:lang w:val="el-GR" w:eastAsia="de-DE"/>
        </w:rPr>
        <w:lastRenderedPageBreak/>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sidR="00436DBE">
        <w:rPr>
          <w:rFonts w:asciiTheme="majorHAnsi" w:eastAsia="Times New Roman" w:hAnsiTheme="majorHAnsi" w:cstheme="majorHAnsi"/>
          <w:b/>
          <w:bCs/>
          <w:noProof/>
          <w:color w:val="2F5496" w:themeColor="accent1" w:themeShade="BF"/>
          <w:sz w:val="26"/>
          <w:szCs w:val="26"/>
          <w:lang w:eastAsia="de-DE"/>
        </w:rPr>
        <w:t>9</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Δείκτης συμμετοχής στο εργατικό δυναμικό (οικονομικά ενεργός πληθυσμός) στα άτομα ηλικίας 15-44 ετών και κατάσταση αναπηρίας (ΕΕΔ,2022)</w:t>
      </w:r>
      <w:bookmarkEnd w:id="28"/>
    </w:p>
    <w:p w14:paraId="5E4333B5" w14:textId="77777777" w:rsidR="007D51AE" w:rsidRDefault="00000000" w:rsidP="00596A26">
      <w:pPr>
        <w:pStyle w:val="a4"/>
        <w:keepNext/>
        <w:jc w:val="center"/>
        <w:rPr>
          <w:lang w:val="el-GR"/>
        </w:rPr>
      </w:pPr>
      <w:r>
        <w:rPr>
          <w:noProof/>
        </w:rPr>
        <w:drawing>
          <wp:inline distT="0" distB="0" distL="0" distR="0" wp14:anchorId="00FA58F4" wp14:editId="50BE740F">
            <wp:extent cx="5095875" cy="2019300"/>
            <wp:effectExtent l="0" t="0" r="0" b="0"/>
            <wp:docPr id="1107458645" name="Γράφημα 1" descr="Με αναπηρία: 15,9%&#10;Χωρίς αναπηρία: 68,5%&#10;Συνολικός πληθυσμός: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509EA4" w14:textId="77777777" w:rsidR="007D51AE" w:rsidRDefault="00000000">
      <w:pPr>
        <w:jc w:val="both"/>
        <w:rPr>
          <w:sz w:val="24"/>
          <w:szCs w:val="24"/>
          <w:lang w:val="el-GR" w:eastAsia="de-DE"/>
        </w:rPr>
      </w:pPr>
      <w:bookmarkStart w:id="29" w:name="_Hlk145071668"/>
      <w:r>
        <w:rPr>
          <w:sz w:val="24"/>
          <w:szCs w:val="24"/>
          <w:lang w:val="el-GR" w:eastAsia="de-DE"/>
        </w:rPr>
        <w:t>Ο δείκτης απασχόλησης των νέων και ενηλίκων ως 44 ετών ανέρχεται μόλις στο 12,5%, όταν στην ίδια ηλικιακή ομάδα, τα άτομα χωρίς αναπηρία είναι ενταγμένα στην απασχόληση σε ποσοστό 58%.</w:t>
      </w:r>
    </w:p>
    <w:bookmarkEnd w:id="29"/>
    <w:p w14:paraId="2DE2B406" w14:textId="2A7420D9" w:rsidR="007D51AE" w:rsidRDefault="00000000" w:rsidP="00596A26">
      <w:pPr>
        <w:spacing w:after="240"/>
        <w:jc w:val="both"/>
        <w:rPr>
          <w:sz w:val="24"/>
          <w:szCs w:val="24"/>
          <w:lang w:val="el-GR" w:eastAsia="de-DE"/>
        </w:rPr>
      </w:pPr>
      <w:r>
        <w:rPr>
          <w:sz w:val="24"/>
          <w:szCs w:val="24"/>
          <w:lang w:val="el-GR" w:eastAsia="de-DE"/>
        </w:rPr>
        <w:t>Ο δείκτης ανεργίας των ατόμων με αναπηρία, παρότι όπως αναλύθηκε δεν είναι ιδιαίτερα αντιπροσωπευτικός για την κατηγορία του πληθυσμού με αναπηρία,</w:t>
      </w:r>
      <w:r w:rsidR="00B44236">
        <w:rPr>
          <w:sz w:val="24"/>
          <w:szCs w:val="24"/>
          <w:lang w:val="el-GR" w:eastAsia="de-DE"/>
        </w:rPr>
        <w:t xml:space="preserve"> </w:t>
      </w:r>
      <w:r>
        <w:rPr>
          <w:sz w:val="24"/>
          <w:szCs w:val="24"/>
          <w:lang w:val="el-GR" w:eastAsia="de-DE"/>
        </w:rPr>
        <w:t>η πλειονότητα της οποίας παραμένει εκτός εργατικού δυναμικού, ανέρχεται σε επίπεδο σημαντικά υψηλότερο σε σύγκριση με τα άτομα χωρίς αναπηρία που ανήκουν στην ίδια ηλικιακή ομάδα.</w:t>
      </w:r>
    </w:p>
    <w:p w14:paraId="5398FDD7" w14:textId="24318C54" w:rsidR="00596A26" w:rsidRDefault="00000000" w:rsidP="00596A26">
      <w:pPr>
        <w:pStyle w:val="a4"/>
        <w:keepNext/>
        <w:jc w:val="center"/>
        <w:rPr>
          <w:rFonts w:asciiTheme="majorHAnsi" w:eastAsia="Times New Roman" w:hAnsiTheme="majorHAnsi" w:cstheme="majorHAnsi"/>
          <w:b/>
          <w:bCs/>
          <w:color w:val="2F5496" w:themeColor="accent1" w:themeShade="BF"/>
          <w:sz w:val="26"/>
          <w:szCs w:val="26"/>
          <w:lang w:val="el-GR" w:eastAsia="de-DE"/>
        </w:rPr>
      </w:pPr>
      <w:bookmarkStart w:id="30" w:name="_Toc145080453"/>
      <w:r>
        <w:rPr>
          <w:rFonts w:asciiTheme="majorHAnsi" w:eastAsia="Times New Roman" w:hAnsiTheme="majorHAnsi" w:cstheme="majorHAnsi"/>
          <w:b/>
          <w:bCs/>
          <w:color w:val="2F5496" w:themeColor="accent1" w:themeShade="BF"/>
          <w:sz w:val="26"/>
          <w:szCs w:val="26"/>
          <w:lang w:val="el-GR" w:eastAsia="de-DE"/>
        </w:rPr>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sidR="00436DBE">
        <w:rPr>
          <w:rFonts w:asciiTheme="majorHAnsi" w:eastAsia="Times New Roman" w:hAnsiTheme="majorHAnsi" w:cstheme="majorHAnsi"/>
          <w:b/>
          <w:bCs/>
          <w:noProof/>
          <w:color w:val="2F5496" w:themeColor="accent1" w:themeShade="BF"/>
          <w:sz w:val="26"/>
          <w:szCs w:val="26"/>
          <w:lang w:eastAsia="de-DE"/>
        </w:rPr>
        <w:t>10</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Νέοι και ενήλικες 15-44 ετών: Δείκτες απασχόλησης και ανεργίας και κατάσταση αναπηρίας (ΕΕΔ,2022)</w:t>
      </w:r>
    </w:p>
    <w:p w14:paraId="29983AB3" w14:textId="5A644431" w:rsidR="007D51AE" w:rsidRDefault="00000000" w:rsidP="00596A26">
      <w:pPr>
        <w:jc w:val="center"/>
        <w:rPr>
          <w:lang w:val="el-GR" w:eastAsia="de-DE"/>
        </w:rPr>
      </w:pPr>
      <w:r>
        <w:rPr>
          <w:noProof/>
        </w:rPr>
        <w:drawing>
          <wp:inline distT="0" distB="0" distL="0" distR="0" wp14:anchorId="0C7C123B" wp14:editId="3C24971F">
            <wp:extent cx="5252085" cy="2757805"/>
            <wp:effectExtent l="0" t="0" r="5715" b="4445"/>
            <wp:docPr id="1273290459" name="Γράφημα 1" descr="Με αναπηρία: Δείκτης απασχόλησης 12,5%, Δείκτης ανεργίας  21,6%, Εκτός εργατικού δυναμικού 84,1%&#10;Χωρίς αναπηρία: Δείκτης απασχόλησης 57,8%, Δείκτης ανεργίας  15,7%, Εκτός εργατικού δυναμικού 31,5%&#10;Συνολικός πληθυσμός: Δείκτης απασχόλησης 57%, Δείκτης ανεργίας  15,7%, Εκτός εργατικού δυναμικού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30"/>
    </w:p>
    <w:p w14:paraId="2B383630" w14:textId="2790B3AD" w:rsidR="007D51AE" w:rsidRDefault="00000000">
      <w:pPr>
        <w:jc w:val="both"/>
        <w:rPr>
          <w:sz w:val="24"/>
          <w:szCs w:val="24"/>
          <w:lang w:val="el-GR" w:eastAsia="de-DE"/>
        </w:rPr>
      </w:pPr>
      <w:bookmarkStart w:id="31" w:name="_Hlk145072402"/>
      <w:r>
        <w:rPr>
          <w:sz w:val="24"/>
          <w:szCs w:val="24"/>
          <w:lang w:val="el-GR" w:eastAsia="de-DE"/>
        </w:rPr>
        <w:lastRenderedPageBreak/>
        <w:t xml:space="preserve">Ιδιαίτερα ανησυχητικό εύρημα για τους νέους και τα άτομα σε πρώιμη ενηλικίωση είναι ότι η μεγάλη πλειονότητα τους, όχι μόνο αποτελούν οικονομικά ανενεργό πληθυσμό αλλά ταυτόχρονα βρίσκεται εκτός εκπαιδευτικής διαδικασίας, είτε τυπικής είτε άτυπης. </w:t>
      </w:r>
    </w:p>
    <w:p w14:paraId="2683950C" w14:textId="7549C691" w:rsidR="007D51AE" w:rsidRDefault="00000000">
      <w:pPr>
        <w:jc w:val="both"/>
        <w:rPr>
          <w:sz w:val="24"/>
          <w:szCs w:val="24"/>
          <w:lang w:val="el-GR" w:eastAsia="de-DE"/>
        </w:rPr>
      </w:pPr>
      <w:r>
        <w:rPr>
          <w:sz w:val="24"/>
          <w:szCs w:val="24"/>
          <w:lang w:val="el-GR" w:eastAsia="de-DE"/>
        </w:rPr>
        <w:t>Πιο αναλυτικά το 82% των ανενεργών ατόμων με αναπηρία και ηλικία 15-44 ετών, δεν παρακολουθεί κάποιο πρόγραμμα εκπαίδευσης ή κατάρτισης, είτε εντός είτε εκτός του επίσημου εκπαιδευτικού συστήματος.</w:t>
      </w:r>
    </w:p>
    <w:p w14:paraId="63D0B085" w14:textId="77777777" w:rsidR="00596A26" w:rsidRDefault="00596A26">
      <w:pPr>
        <w:jc w:val="both"/>
        <w:rPr>
          <w:sz w:val="24"/>
          <w:szCs w:val="24"/>
          <w:lang w:val="el-GR" w:eastAsia="de-DE"/>
        </w:rPr>
      </w:pPr>
    </w:p>
    <w:p w14:paraId="27E33225" w14:textId="595596DF" w:rsidR="007D51AE" w:rsidRDefault="00000000" w:rsidP="00596A26">
      <w:pPr>
        <w:pStyle w:val="a4"/>
        <w:keepNext/>
        <w:jc w:val="center"/>
        <w:rPr>
          <w:rFonts w:asciiTheme="majorHAnsi" w:eastAsia="Times New Roman" w:hAnsiTheme="majorHAnsi" w:cstheme="majorHAnsi"/>
          <w:b/>
          <w:bCs/>
          <w:color w:val="2F5496" w:themeColor="accent1" w:themeShade="BF"/>
          <w:sz w:val="26"/>
          <w:szCs w:val="26"/>
          <w:lang w:val="el-GR" w:eastAsia="de-DE"/>
        </w:rPr>
      </w:pPr>
      <w:bookmarkStart w:id="32" w:name="_Toc145080454"/>
      <w:bookmarkEnd w:id="31"/>
      <w:r>
        <w:rPr>
          <w:rFonts w:asciiTheme="majorHAnsi" w:eastAsia="Times New Roman" w:hAnsiTheme="majorHAnsi" w:cstheme="majorHAnsi"/>
          <w:b/>
          <w:bCs/>
          <w:color w:val="2F5496" w:themeColor="accent1" w:themeShade="BF"/>
          <w:sz w:val="26"/>
          <w:szCs w:val="26"/>
          <w:lang w:val="el-GR" w:eastAsia="de-DE"/>
        </w:rPr>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sidR="00436DBE" w:rsidRPr="00436DBE">
        <w:rPr>
          <w:rFonts w:asciiTheme="majorHAnsi" w:eastAsia="Times New Roman" w:hAnsiTheme="majorHAnsi" w:cstheme="majorHAnsi"/>
          <w:b/>
          <w:bCs/>
          <w:noProof/>
          <w:color w:val="2F5496" w:themeColor="accent1" w:themeShade="BF"/>
          <w:sz w:val="26"/>
          <w:szCs w:val="26"/>
          <w:lang w:val="el-GR" w:eastAsia="de-DE"/>
        </w:rPr>
        <w:t>11</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xml:space="preserve">: Ποσοστό ανενεργού πληθυσμού (Εκτός εργατικού δυναμικού), </w:t>
      </w:r>
      <w:r w:rsidR="00596A26">
        <w:rPr>
          <w:rFonts w:asciiTheme="majorHAnsi" w:eastAsia="Times New Roman" w:hAnsiTheme="majorHAnsi" w:cstheme="majorHAnsi"/>
          <w:b/>
          <w:bCs/>
          <w:color w:val="2F5496" w:themeColor="accent1" w:themeShade="BF"/>
          <w:sz w:val="26"/>
          <w:szCs w:val="26"/>
          <w:lang w:val="el-GR" w:eastAsia="de-DE"/>
        </w:rPr>
        <w:br/>
      </w:r>
      <w:r>
        <w:rPr>
          <w:rFonts w:asciiTheme="majorHAnsi" w:eastAsia="Times New Roman" w:hAnsiTheme="majorHAnsi" w:cstheme="majorHAnsi"/>
          <w:b/>
          <w:bCs/>
          <w:color w:val="2F5496" w:themeColor="accent1" w:themeShade="BF"/>
          <w:sz w:val="26"/>
          <w:szCs w:val="26"/>
          <w:lang w:val="el-GR" w:eastAsia="de-DE"/>
        </w:rPr>
        <w:t xml:space="preserve">εκτός εκπαίδευσης και κατάρτισης (τυπικής ή άτυπης) και κατάσταση </w:t>
      </w:r>
      <w:r w:rsidR="00596A26">
        <w:rPr>
          <w:rFonts w:asciiTheme="majorHAnsi" w:eastAsia="Times New Roman" w:hAnsiTheme="majorHAnsi" w:cstheme="majorHAnsi"/>
          <w:b/>
          <w:bCs/>
          <w:color w:val="2F5496" w:themeColor="accent1" w:themeShade="BF"/>
          <w:sz w:val="26"/>
          <w:szCs w:val="26"/>
          <w:lang w:val="el-GR" w:eastAsia="de-DE"/>
        </w:rPr>
        <w:br/>
      </w:r>
      <w:r>
        <w:rPr>
          <w:rFonts w:asciiTheme="majorHAnsi" w:eastAsia="Times New Roman" w:hAnsiTheme="majorHAnsi" w:cstheme="majorHAnsi"/>
          <w:b/>
          <w:bCs/>
          <w:color w:val="2F5496" w:themeColor="accent1" w:themeShade="BF"/>
          <w:sz w:val="26"/>
          <w:szCs w:val="26"/>
          <w:lang w:val="el-GR" w:eastAsia="de-DE"/>
        </w:rPr>
        <w:t>αναπηρίας (ΕΕΔ,2022)</w:t>
      </w:r>
      <w:bookmarkEnd w:id="32"/>
    </w:p>
    <w:p w14:paraId="52076B3D" w14:textId="77777777" w:rsidR="007D51AE" w:rsidRDefault="00000000" w:rsidP="00596A26">
      <w:pPr>
        <w:jc w:val="center"/>
      </w:pPr>
      <w:r>
        <w:rPr>
          <w:noProof/>
        </w:rPr>
        <w:drawing>
          <wp:inline distT="0" distB="0" distL="0" distR="0" wp14:anchorId="7771248E" wp14:editId="7CDFEF12">
            <wp:extent cx="5149850" cy="2691765"/>
            <wp:effectExtent l="0" t="0" r="0" b="0"/>
            <wp:docPr id="2086407995" name="Γράφημα 1" descr="Με αναπηρία: 81,9%&#10;Χωρίς αναπηρία: 28,4%&#10;Συνολικός πληθυσμός: 30,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5B421B" w14:textId="77777777" w:rsidR="007D51AE" w:rsidRDefault="007D51AE">
      <w:pPr>
        <w:rPr>
          <w:lang w:val="el-GR"/>
        </w:rPr>
      </w:pPr>
    </w:p>
    <w:p w14:paraId="72BFD0AA" w14:textId="77777777" w:rsidR="00596A26" w:rsidRDefault="00596A26">
      <w:pPr>
        <w:spacing w:after="0" w:line="240" w:lineRule="auto"/>
        <w:rPr>
          <w:rFonts w:asciiTheme="majorHAnsi" w:eastAsiaTheme="majorEastAsia" w:hAnsiTheme="majorHAnsi" w:cstheme="majorBidi"/>
          <w:color w:val="2F5496" w:themeColor="accent1" w:themeShade="BF"/>
          <w:sz w:val="32"/>
          <w:szCs w:val="32"/>
          <w:lang w:val="el-GR"/>
        </w:rPr>
      </w:pPr>
      <w:bookmarkStart w:id="33" w:name="_Toc145080430"/>
      <w:r>
        <w:rPr>
          <w:lang w:val="el-GR"/>
        </w:rPr>
        <w:br w:type="page"/>
      </w:r>
    </w:p>
    <w:p w14:paraId="0403EB31" w14:textId="35E379AE" w:rsidR="007D51AE" w:rsidRPr="00596A26" w:rsidRDefault="00000000" w:rsidP="00596A26">
      <w:pPr>
        <w:pStyle w:val="1"/>
        <w:numPr>
          <w:ilvl w:val="0"/>
          <w:numId w:val="0"/>
        </w:numPr>
        <w:ind w:left="432" w:hanging="432"/>
        <w:jc w:val="center"/>
        <w:rPr>
          <w:b/>
          <w:bCs/>
          <w:lang w:val="el-GR"/>
        </w:rPr>
      </w:pPr>
      <w:r w:rsidRPr="00596A26">
        <w:rPr>
          <w:b/>
          <w:bCs/>
          <w:lang w:val="el-GR"/>
        </w:rPr>
        <w:lastRenderedPageBreak/>
        <w:t>ΠΑΡΑΡΤΗΜΑ</w:t>
      </w:r>
      <w:bookmarkEnd w:id="33"/>
    </w:p>
    <w:p w14:paraId="25626123" w14:textId="77777777" w:rsidR="007D51AE" w:rsidRPr="00403188" w:rsidRDefault="007D51AE">
      <w:pPr>
        <w:rPr>
          <w:lang w:val="el-GR"/>
        </w:rPr>
      </w:pPr>
      <w:bookmarkStart w:id="34" w:name="_Hlk145079916"/>
    </w:p>
    <w:p w14:paraId="4A35473E" w14:textId="77777777" w:rsidR="007D51AE" w:rsidRDefault="00000000">
      <w:pPr>
        <w:rPr>
          <w:rFonts w:asciiTheme="majorHAnsi" w:hAnsiTheme="majorHAnsi" w:cstheme="majorHAnsi"/>
          <w:b/>
          <w:bCs/>
          <w:sz w:val="24"/>
          <w:szCs w:val="24"/>
          <w:u w:val="single"/>
          <w:lang w:val="el-GR"/>
        </w:rPr>
      </w:pPr>
      <w:r>
        <w:rPr>
          <w:rFonts w:asciiTheme="majorHAnsi" w:hAnsiTheme="majorHAnsi" w:cstheme="majorHAnsi"/>
          <w:b/>
          <w:bCs/>
          <w:sz w:val="24"/>
          <w:szCs w:val="24"/>
          <w:u w:val="single"/>
          <w:lang w:val="el-GR"/>
        </w:rPr>
        <w:t>ΟΡΙΣΜΟΙ ΕΡΕΥΝΑΣ ΕΡΓΑΤΙΚΟΥ ΔΥΝΑΜΙΚΟΥ ΤΗΣ ΕΛΛΗΝΙΚΗΣ ΣΤΑΤΙΣΤΙΚΗΣ ΑΡΧΗΣ</w:t>
      </w:r>
    </w:p>
    <w:p w14:paraId="78FAF2F5" w14:textId="77777777" w:rsidR="007D51AE" w:rsidRDefault="00000000">
      <w:pPr>
        <w:jc w:val="both"/>
        <w:rPr>
          <w:lang w:val="el-GR"/>
        </w:rPr>
      </w:pPr>
      <w:r>
        <w:rPr>
          <w:b/>
          <w:bCs/>
          <w:lang w:val="el-GR"/>
        </w:rPr>
        <w:t>Απασχολούμενοι</w:t>
      </w:r>
      <w:r>
        <w:rPr>
          <w:lang w:val="el-GR"/>
        </w:rPr>
        <w:t>: τα άτομα ηλικίας 15-89 ετών τα οποία ενέπιπταν κατά τη διάρκεια της εβδομάδας αναφοράς σε μία από τις ακόλουθες κατηγορίες:</w:t>
      </w:r>
    </w:p>
    <w:p w14:paraId="4E478E40" w14:textId="77777777" w:rsidR="007D51AE" w:rsidRDefault="00000000">
      <w:pPr>
        <w:jc w:val="both"/>
        <w:rPr>
          <w:lang w:val="el-GR"/>
        </w:rPr>
      </w:pPr>
      <w:r>
        <w:rPr>
          <w:lang w:val="el-GR"/>
        </w:rPr>
        <w:t xml:space="preserve">α) άτομα τα οποία κατά τη διάρκεια της εβδομάδας αναφοράς εργάστηκαν για τουλάχιστον 1 ώρα έναντι αμοιβής ή κέρδους, συμπεριλαμβανομένων των </w:t>
      </w:r>
      <w:proofErr w:type="spellStart"/>
      <w:r>
        <w:rPr>
          <w:lang w:val="el-GR"/>
        </w:rPr>
        <w:t>συμβοηθούντων</w:t>
      </w:r>
      <w:proofErr w:type="spellEnd"/>
      <w:r>
        <w:rPr>
          <w:lang w:val="el-GR"/>
        </w:rPr>
        <w:t xml:space="preserve"> μελών οικογενειακής επιχείρησης.</w:t>
      </w:r>
    </w:p>
    <w:p w14:paraId="2A2900CC" w14:textId="77777777" w:rsidR="007D51AE" w:rsidRDefault="00000000">
      <w:pPr>
        <w:jc w:val="both"/>
        <w:rPr>
          <w:lang w:val="el-GR"/>
        </w:rPr>
      </w:pPr>
      <w:r>
        <w:rPr>
          <w:lang w:val="el-GR"/>
        </w:rPr>
        <w:t>β) άτομα με θέση εργασίας ή επαγγελματική δραστηριότητα, τα οποία δεν εργάζονταν προσωρινά κατά τη διάρκεια της εβδομάδας αναφοράς αλλά είχαν σύνδεση με την εργασία τους. Σύνδεση εργασίας έχουν οι ακόλουθες ομάδες:</w:t>
      </w:r>
    </w:p>
    <w:p w14:paraId="021059E5" w14:textId="77777777" w:rsidR="007D51AE" w:rsidRDefault="00000000">
      <w:pPr>
        <w:jc w:val="both"/>
        <w:rPr>
          <w:lang w:val="el-GR"/>
        </w:rPr>
      </w:pPr>
      <w:r>
        <w:rPr>
          <w:lang w:val="el-GR"/>
        </w:rPr>
        <w:t>— άτομα που δεν εργάζονται λόγω αργίας/διακοπών, ρυθμίσεων του χρόνου εργασίας, αναρρωτικής άδειας, άδειας μητρότητας ή πατρότητας,</w:t>
      </w:r>
    </w:p>
    <w:p w14:paraId="48555A1E" w14:textId="77777777" w:rsidR="007D51AE" w:rsidRDefault="00000000">
      <w:pPr>
        <w:jc w:val="both"/>
        <w:rPr>
          <w:lang w:val="el-GR"/>
        </w:rPr>
      </w:pPr>
      <w:r>
        <w:rPr>
          <w:lang w:val="el-GR"/>
        </w:rPr>
        <w:t>— άτομα που συμμετέχουν σε κατάρτιση σχετική με την εργασία,</w:t>
      </w:r>
    </w:p>
    <w:p w14:paraId="0D6F0606" w14:textId="77777777" w:rsidR="007D51AE" w:rsidRDefault="00000000">
      <w:pPr>
        <w:jc w:val="both"/>
        <w:rPr>
          <w:lang w:val="el-GR"/>
        </w:rPr>
      </w:pPr>
      <w:r>
        <w:rPr>
          <w:lang w:val="el-GR"/>
        </w:rPr>
        <w:t>— άτομα σε γονική άδεια, τα οποία λαμβάνουν και/ή δικαιούνται εισόδημα ή επιδόματα σχετικά με την εργασία ή των οποίων η γονική άδεια είναι μέγιστης αναμενόμενης διάρκειας 3 μηνών,</w:t>
      </w:r>
    </w:p>
    <w:p w14:paraId="7746C57B" w14:textId="77777777" w:rsidR="007D51AE" w:rsidRDefault="00000000">
      <w:pPr>
        <w:jc w:val="both"/>
        <w:rPr>
          <w:lang w:val="el-GR"/>
        </w:rPr>
      </w:pPr>
      <w:r>
        <w:rPr>
          <w:lang w:val="el-GR"/>
        </w:rPr>
        <w:t>— εποχιακοί εργαζόμενοι κατά τη διάρκεια της νεκρής περιόδου, εάν συνεχίζουν να εκτελούν τακτικά καθήκοντα και υποχρεώσεις για την εργασία ή την επαγγελματική δραστηριότητα, εξαιρουμένης της εκπλήρωσης νομικών ή διοικητικών υποχρεώσεων,</w:t>
      </w:r>
    </w:p>
    <w:p w14:paraId="7112ED73" w14:textId="77777777" w:rsidR="007D51AE" w:rsidRDefault="00000000">
      <w:pPr>
        <w:jc w:val="both"/>
        <w:rPr>
          <w:lang w:val="el-GR"/>
        </w:rPr>
      </w:pPr>
      <w:r>
        <w:rPr>
          <w:lang w:val="el-GR"/>
        </w:rPr>
        <w:t>— άτομα τα οποία δεν εργάζονται προσωρινά για άλλους λόγους, εάν η απουσία είναι μέγιστης αναμενόμενης διάρκειας 3 μηνών,</w:t>
      </w:r>
    </w:p>
    <w:p w14:paraId="7E2C5906" w14:textId="77777777" w:rsidR="007D51AE" w:rsidRDefault="00000000">
      <w:pPr>
        <w:jc w:val="both"/>
        <w:rPr>
          <w:lang w:val="el-GR"/>
        </w:rPr>
      </w:pPr>
      <w:r>
        <w:rPr>
          <w:lang w:val="el-GR"/>
        </w:rPr>
        <w:t xml:space="preserve">Σημείωση: τα </w:t>
      </w:r>
      <w:proofErr w:type="spellStart"/>
      <w:r>
        <w:rPr>
          <w:lang w:val="el-GR"/>
        </w:rPr>
        <w:t>συμβοηθούντα</w:t>
      </w:r>
      <w:proofErr w:type="spellEnd"/>
      <w:r>
        <w:rPr>
          <w:lang w:val="el-GR"/>
        </w:rPr>
        <w:t xml:space="preserve"> μέλη οικογενειακής επιχείρησης, τα άτομα που απασχολούνται σε εργασίες παραγωγής για ιδία χρήση, οι εθελοντές εργαζόμενοι, οι μη αμειβόμενοι ασκούμενοι και τα άτομα που απασχολούνται σε άλλες μορφές εργασίας ορίζονται στην απόφαση της 19ης διεθνούς διάσκεψης στατιστικολόγων εργασίας (</w:t>
      </w:r>
      <w:r>
        <w:t>ICLS</w:t>
      </w:r>
      <w:r>
        <w:rPr>
          <w:lang w:val="el-GR"/>
        </w:rPr>
        <w:t xml:space="preserve">) σχετικά με τις στατιστικές για την εργασία, την απασχόληση και την </w:t>
      </w:r>
      <w:proofErr w:type="spellStart"/>
      <w:r>
        <w:rPr>
          <w:lang w:val="el-GR"/>
        </w:rPr>
        <w:t>υποχρησιμοποίηση</w:t>
      </w:r>
      <w:proofErr w:type="spellEnd"/>
      <w:r>
        <w:rPr>
          <w:lang w:val="el-GR"/>
        </w:rPr>
        <w:t xml:space="preserve"> του εργατικού δυναμικού (11.10.2013).</w:t>
      </w:r>
    </w:p>
    <w:p w14:paraId="06602BF3" w14:textId="77777777" w:rsidR="007D51AE" w:rsidRDefault="00000000">
      <w:pPr>
        <w:jc w:val="both"/>
        <w:rPr>
          <w:lang w:val="el-GR"/>
        </w:rPr>
      </w:pPr>
      <w:r>
        <w:rPr>
          <w:b/>
          <w:bCs/>
          <w:lang w:val="el-GR"/>
        </w:rPr>
        <w:t>Άνεργοι</w:t>
      </w:r>
      <w:r>
        <w:rPr>
          <w:lang w:val="el-GR"/>
        </w:rPr>
        <w:t>: τα άτομα ηλικίας 15 – 74 ετών που δεν χαρακτηρίστηκαν ως απασχολούμενοι (σύμφωνα με τον προηγούμενο ορισμό), ήταν άμεσα διαθέσιμοι για εργασία και είτε αναζητούσαν ενεργά εργασία τις τελευταίες 4 εβδομάδες είτε είχαν βρει μια εργασία που θα αναλάμβαναν μέσα στους επόμενους τρεις μήνες.</w:t>
      </w:r>
    </w:p>
    <w:p w14:paraId="3282CAFE" w14:textId="77777777" w:rsidR="007D51AE" w:rsidRDefault="00000000">
      <w:pPr>
        <w:jc w:val="both"/>
        <w:rPr>
          <w:lang w:val="el-GR"/>
        </w:rPr>
      </w:pPr>
      <w:r>
        <w:rPr>
          <w:b/>
          <w:bCs/>
          <w:lang w:val="el-GR"/>
        </w:rPr>
        <w:t>Άτομα εκτός του εργατικού δυναμικού:</w:t>
      </w:r>
      <w:r>
        <w:rPr>
          <w:lang w:val="el-GR"/>
        </w:rPr>
        <w:t xml:space="preserve"> τα άτομα που δεν χαρακτηρίζονται απασχολούμενοι ή άνεργοι σύμφωνα με τους ορισμούς της απασχόλησης και της ανεργίας (δηλαδή, άτομα ηλικίας κάτω των 15 ετών, άτομα άνω των 89 ετών ή άτομα ηλικίας 15-89 ετών τα οποία δεν ήταν ούτε απασχολούμενοι ούτε άνεργοι κατά τη διάρκεια της εβδομάδας αναφοράς).</w:t>
      </w:r>
    </w:p>
    <w:p w14:paraId="5EB23136" w14:textId="77777777" w:rsidR="007D51AE" w:rsidRDefault="00000000">
      <w:pPr>
        <w:jc w:val="both"/>
        <w:rPr>
          <w:lang w:val="el-GR"/>
        </w:rPr>
      </w:pPr>
      <w:r>
        <w:rPr>
          <w:b/>
          <w:bCs/>
          <w:lang w:val="el-GR"/>
        </w:rPr>
        <w:t>Εργατικό δυναμικό:</w:t>
      </w:r>
      <w:r>
        <w:rPr>
          <w:lang w:val="el-GR"/>
        </w:rPr>
        <w:t xml:space="preserve"> οι απασχολούμενοι και οι άνεργοι.</w:t>
      </w:r>
    </w:p>
    <w:p w14:paraId="7516D4A2" w14:textId="77777777" w:rsidR="007D51AE" w:rsidRDefault="00000000">
      <w:pPr>
        <w:jc w:val="both"/>
        <w:rPr>
          <w:lang w:val="el-GR"/>
        </w:rPr>
      </w:pPr>
      <w:r>
        <w:rPr>
          <w:b/>
          <w:bCs/>
          <w:lang w:val="el-GR"/>
        </w:rPr>
        <w:lastRenderedPageBreak/>
        <w:t>Ποσοστό ανεργίας:</w:t>
      </w:r>
      <w:r>
        <w:rPr>
          <w:lang w:val="el-GR"/>
        </w:rPr>
        <w:t xml:space="preserve"> ο λόγος των ανέργων προς το σύνολο του εργατικού δυναμικού.</w:t>
      </w:r>
    </w:p>
    <w:p w14:paraId="07E839E6" w14:textId="77777777" w:rsidR="007D51AE" w:rsidRDefault="00000000">
      <w:pPr>
        <w:jc w:val="both"/>
        <w:rPr>
          <w:lang w:val="el-GR"/>
        </w:rPr>
      </w:pPr>
      <w:r>
        <w:rPr>
          <w:b/>
          <w:bCs/>
          <w:lang w:val="el-GR"/>
        </w:rPr>
        <w:t>Διάρκεια ανεργίας:</w:t>
      </w:r>
      <w:r>
        <w:rPr>
          <w:lang w:val="el-GR"/>
        </w:rPr>
        <w:t xml:space="preserve"> το χρονικό διάστημα που ο ερευνώμενος αναζητούσε εργασία και ταυτόχρονα δεν ήταν απασχολούμενος.</w:t>
      </w:r>
    </w:p>
    <w:p w14:paraId="7301E785" w14:textId="77777777" w:rsidR="007D51AE" w:rsidRDefault="00000000">
      <w:pPr>
        <w:jc w:val="both"/>
        <w:rPr>
          <w:lang w:val="el-GR"/>
        </w:rPr>
      </w:pPr>
      <w:r>
        <w:rPr>
          <w:lang w:val="el-GR"/>
        </w:rPr>
        <w:t>Περισσότερες πληροφορίες για την Έρευνα Εργατικού Δυναμικού, καθώς και πίνακες με αποτελέσματα, μπορούν να αναζητηθούν στην ιστοσελίδα της ΕΛΣΤΑΤ στον σύνδεσμο:</w:t>
      </w:r>
    </w:p>
    <w:bookmarkEnd w:id="34"/>
    <w:p w14:paraId="2B1BD7A6" w14:textId="77777777" w:rsidR="007D51AE" w:rsidRDefault="00000000">
      <w:pPr>
        <w:jc w:val="both"/>
        <w:rPr>
          <w:b/>
          <w:bCs/>
          <w:lang w:val="el-GR"/>
        </w:rPr>
      </w:pPr>
      <w:r>
        <w:rPr>
          <w:b/>
          <w:bCs/>
          <w:lang w:val="el-GR"/>
        </w:rPr>
        <w:t>https://www.statistics.gr/el/statistics/-/publication/SJO01/2022-Q1</w:t>
      </w:r>
    </w:p>
    <w:p w14:paraId="662CB85F" w14:textId="77777777" w:rsidR="007D51AE" w:rsidRDefault="007D51AE">
      <w:pPr>
        <w:rPr>
          <w:lang w:val="el-GR"/>
        </w:rPr>
      </w:pPr>
    </w:p>
    <w:p w14:paraId="5CA9EFC6" w14:textId="77777777" w:rsidR="007D51AE" w:rsidRDefault="00000000">
      <w:pPr>
        <w:rPr>
          <w:rFonts w:asciiTheme="majorHAnsi" w:hAnsiTheme="majorHAnsi" w:cstheme="majorHAnsi"/>
          <w:b/>
          <w:bCs/>
          <w:sz w:val="24"/>
          <w:szCs w:val="24"/>
          <w:u w:val="single"/>
        </w:rPr>
      </w:pPr>
      <w:r>
        <w:rPr>
          <w:rFonts w:asciiTheme="majorHAnsi" w:hAnsiTheme="majorHAnsi" w:cstheme="majorHAnsi"/>
          <w:b/>
          <w:bCs/>
          <w:sz w:val="24"/>
          <w:szCs w:val="24"/>
          <w:u w:val="single"/>
        </w:rPr>
        <w:t xml:space="preserve">ΜΕΘΟΔΟΛΟΓΙΚΕΣ ΣΗΜΕΙΩΣΕΙΣ </w:t>
      </w:r>
    </w:p>
    <w:p w14:paraId="7E6061E8" w14:textId="77777777" w:rsidR="007D51AE" w:rsidRDefault="00000000">
      <w:pPr>
        <w:pStyle w:val="af2"/>
        <w:numPr>
          <w:ilvl w:val="0"/>
          <w:numId w:val="3"/>
        </w:numPr>
        <w:jc w:val="both"/>
        <w:rPr>
          <w:b/>
          <w:bCs/>
          <w:sz w:val="24"/>
          <w:szCs w:val="24"/>
        </w:rPr>
      </w:pPr>
      <w:proofErr w:type="spellStart"/>
      <w:r>
        <w:rPr>
          <w:b/>
          <w:bCs/>
          <w:sz w:val="24"/>
          <w:szCs w:val="24"/>
        </w:rPr>
        <w:t>Στ</w:t>
      </w:r>
      <w:proofErr w:type="spellEnd"/>
      <w:r>
        <w:rPr>
          <w:b/>
          <w:bCs/>
          <w:sz w:val="24"/>
          <w:szCs w:val="24"/>
        </w:rPr>
        <w:t xml:space="preserve">ατιστική </w:t>
      </w:r>
      <w:proofErr w:type="spellStart"/>
      <w:r>
        <w:rPr>
          <w:b/>
          <w:bCs/>
          <w:sz w:val="24"/>
          <w:szCs w:val="24"/>
        </w:rPr>
        <w:t>μέτρηση</w:t>
      </w:r>
      <w:proofErr w:type="spellEnd"/>
      <w:r>
        <w:rPr>
          <w:b/>
          <w:bCs/>
          <w:sz w:val="24"/>
          <w:szCs w:val="24"/>
        </w:rPr>
        <w:t xml:space="preserve"> </w:t>
      </w:r>
      <w:proofErr w:type="spellStart"/>
      <w:r>
        <w:rPr>
          <w:b/>
          <w:bCs/>
          <w:sz w:val="24"/>
          <w:szCs w:val="24"/>
        </w:rPr>
        <w:t>της</w:t>
      </w:r>
      <w:proofErr w:type="spellEnd"/>
      <w:r>
        <w:rPr>
          <w:b/>
          <w:bCs/>
          <w:sz w:val="24"/>
          <w:szCs w:val="24"/>
        </w:rPr>
        <w:t xml:space="preserve"> αναπ</w:t>
      </w:r>
      <w:proofErr w:type="spellStart"/>
      <w:r>
        <w:rPr>
          <w:b/>
          <w:bCs/>
          <w:sz w:val="24"/>
          <w:szCs w:val="24"/>
        </w:rPr>
        <w:t>ηρί</w:t>
      </w:r>
      <w:proofErr w:type="spellEnd"/>
      <w:r>
        <w:rPr>
          <w:b/>
          <w:bCs/>
          <w:sz w:val="24"/>
          <w:szCs w:val="24"/>
        </w:rPr>
        <w:t xml:space="preserve">ας </w:t>
      </w:r>
    </w:p>
    <w:p w14:paraId="5298FF76" w14:textId="0DEDB310" w:rsidR="007D51AE" w:rsidRDefault="00000000">
      <w:pPr>
        <w:jc w:val="both"/>
        <w:rPr>
          <w:lang w:val="el-GR"/>
        </w:rPr>
      </w:pPr>
      <w:bookmarkStart w:id="35" w:name="_Hlk145057961"/>
      <w:r>
        <w:rPr>
          <w:lang w:val="el-GR"/>
        </w:rPr>
        <w:t xml:space="preserve">Η πληθυσμιακή ομάδα των ατόμων με αναπηρία προσεγγίζεται στατιστικά με τον δείκτη </w:t>
      </w:r>
      <w:r>
        <w:rPr>
          <w:lang w:val="en-GB"/>
        </w:rPr>
        <w:t>GALI</w:t>
      </w:r>
      <w:r>
        <w:rPr>
          <w:lang w:val="el-GR"/>
        </w:rPr>
        <w:t xml:space="preserve"> (</w:t>
      </w:r>
      <w:r>
        <w:rPr>
          <w:lang w:val="en-GB"/>
        </w:rPr>
        <w:t>Global</w:t>
      </w:r>
      <w:r>
        <w:rPr>
          <w:lang w:val="el-GR"/>
        </w:rPr>
        <w:t xml:space="preserve"> </w:t>
      </w:r>
      <w:r>
        <w:rPr>
          <w:lang w:val="en-GB"/>
        </w:rPr>
        <w:t>Activity</w:t>
      </w:r>
      <w:r>
        <w:rPr>
          <w:lang w:val="el-GR"/>
        </w:rPr>
        <w:t xml:space="preserve"> </w:t>
      </w:r>
      <w:r>
        <w:rPr>
          <w:lang w:val="en-GB"/>
        </w:rPr>
        <w:t>Limitation</w:t>
      </w:r>
      <w:r>
        <w:rPr>
          <w:lang w:val="el-GR"/>
        </w:rPr>
        <w:t xml:space="preserve"> </w:t>
      </w:r>
      <w:r>
        <w:rPr>
          <w:lang w:val="en-GB"/>
        </w:rPr>
        <w:t>Index</w:t>
      </w:r>
      <w:r>
        <w:rPr>
          <w:lang w:val="el-GR"/>
        </w:rPr>
        <w:t>).</w:t>
      </w:r>
      <w:r w:rsidR="00B44236">
        <w:rPr>
          <w:lang w:val="el-GR"/>
        </w:rPr>
        <w:t xml:space="preserve"> </w:t>
      </w:r>
      <w:r>
        <w:rPr>
          <w:lang w:val="el-GR"/>
        </w:rPr>
        <w:t xml:space="preserve">Ο δείκτης αποτυπώνει την αναπηρία ως την ύπαρξη περιορισμού ή δυσκολίας στις συνήθεις για τον πληθυσμό δραστηριότητες εξαιτίας προβλημάτων υγείας. Ειδικότερα, το ερώτημα εξετάζει εάν - με βάση την προσωπική του εκτίμηση - ο ερευνώμενος θεωρεί ότι έχει περιορίσει σε κάποιο βαθμό, εξαιτίας κάποιου χρόνιου προβλήματος υγείας, σωματικού ή ψυχικού, καθημερινές- συνήθεις για το γενικό πληθυσμό δραστηριότητες, για διάστημα μεγαλύτερο από έξι (6) μήνες. Η αρχική εκδοχή της τεχνικής μέτρησης του δείκτη, συνίστατο σε μια ερώτηση αναφοράς η οποία έχει ενσωματωθεί στην αρχική της μορφή σε ποικίλες κοινωνικές έρευνες της </w:t>
      </w:r>
      <w:r>
        <w:t>Eurostat</w:t>
      </w:r>
      <w:r>
        <w:rPr>
          <w:lang w:val="el-GR"/>
        </w:rPr>
        <w:t>, αποτελώντας και μόνιμη μεταβλητή στην Έρευνα Εισοδήματος και Συνθηκών διαβίωσης των Νοικοκυριών. Στην παρούσα, αναθεωρημένη εκδοχή της, η μέτρηση του δείκτη έχει διαιρεθεί σε δύο ερωτήσεις (</w:t>
      </w:r>
      <w:r>
        <w:t>routed</w:t>
      </w:r>
      <w:r>
        <w:rPr>
          <w:lang w:val="el-GR"/>
        </w:rPr>
        <w:t xml:space="preserve">, </w:t>
      </w:r>
      <w:r>
        <w:t>two</w:t>
      </w:r>
      <w:r>
        <w:rPr>
          <w:lang w:val="el-GR"/>
        </w:rPr>
        <w:t xml:space="preserve"> -</w:t>
      </w:r>
      <w:r>
        <w:t>question</w:t>
      </w:r>
      <w:r>
        <w:rPr>
          <w:lang w:val="el-GR"/>
        </w:rPr>
        <w:t xml:space="preserve"> </w:t>
      </w:r>
      <w:r>
        <w:t>version</w:t>
      </w:r>
      <w:r>
        <w:rPr>
          <w:lang w:val="el-GR"/>
        </w:rPr>
        <w:t>), καθώς το αρχικό εργαλείο (1 ερώτηση) διαπιστώθηκε ότι δημιουργεί σύγχυση, λόγω του μεγάλου μεγέθους της σχετικής ερώτησης, της πολυπλοκότητας στη διατύπωση της κ.α. Η δρομολογημένη (</w:t>
      </w:r>
      <w:r>
        <w:t>routed</w:t>
      </w:r>
      <w:r>
        <w:rPr>
          <w:lang w:val="el-GR"/>
        </w:rPr>
        <w:t xml:space="preserve"> </w:t>
      </w:r>
      <w:r>
        <w:t>version</w:t>
      </w:r>
      <w:r>
        <w:rPr>
          <w:lang w:val="el-GR"/>
        </w:rPr>
        <w:t xml:space="preserve">) έκδοση στοχεύει στο να καταστήσει τον δείκτη </w:t>
      </w:r>
      <w:r>
        <w:t>GALI</w:t>
      </w:r>
      <w:r>
        <w:rPr>
          <w:lang w:val="el-GR"/>
        </w:rPr>
        <w:t xml:space="preserve"> περισσότερο κατανοητό για τους ερωτηθέντες, ιδίως σε τηλεφωνικές συνεντεύξεις και </w:t>
      </w:r>
      <w:proofErr w:type="spellStart"/>
      <w:r>
        <w:rPr>
          <w:lang w:val="el-GR"/>
        </w:rPr>
        <w:t>αυτόσυμπληρούμενα</w:t>
      </w:r>
      <w:proofErr w:type="spellEnd"/>
      <w:r>
        <w:rPr>
          <w:lang w:val="el-GR"/>
        </w:rPr>
        <w:t xml:space="preserve"> ερωτηματολόγια. </w:t>
      </w:r>
    </w:p>
    <w:bookmarkEnd w:id="35"/>
    <w:p w14:paraId="528D2736" w14:textId="77777777" w:rsidR="007D51AE" w:rsidRDefault="00000000">
      <w:pPr>
        <w:pStyle w:val="af2"/>
        <w:numPr>
          <w:ilvl w:val="0"/>
          <w:numId w:val="3"/>
        </w:numPr>
        <w:jc w:val="both"/>
        <w:rPr>
          <w:b/>
          <w:bCs/>
          <w:sz w:val="24"/>
          <w:szCs w:val="24"/>
          <w:lang w:val="el-GR"/>
        </w:rPr>
      </w:pPr>
      <w:r>
        <w:rPr>
          <w:b/>
          <w:bCs/>
          <w:sz w:val="24"/>
          <w:szCs w:val="24"/>
          <w:lang w:val="el-GR"/>
        </w:rPr>
        <w:t>Δείκτες απασχόλησης και ηλικιακή σύνθεση πληθυσμού με αναπηρία</w:t>
      </w:r>
    </w:p>
    <w:p w14:paraId="0C261830" w14:textId="77777777" w:rsidR="007D51AE" w:rsidRDefault="00000000">
      <w:pPr>
        <w:jc w:val="both"/>
        <w:rPr>
          <w:lang w:val="el-GR"/>
        </w:rPr>
      </w:pPr>
      <w:r>
        <w:rPr>
          <w:lang w:val="el-GR"/>
        </w:rPr>
        <w:t xml:space="preserve">Ένα ζήτημα μεθοδολογίας που προκύπτει στην ανάλυση των στοιχείων της απασχόλησης είναι ο έλεγχος της μεταβλητής της ηλικίας, η οποία λόγω της ειδικής ηλικιακής σύνθεσης του πληθυσμού με αναπηρία ασκεί σημαντική επίδραση στα μεγέθη της απασχόλησης, αυξάνοντας σημαντικά το ποσοστό των συνταξιούχων στο σύνολο του κατηγορίας. Αναλύοντας την κατάσταση απασχόλησης ανά ομάδα ηλικίας διαπιστώσαμε ότι οι ηλικίες άνω των 65 ετών δεν διαφοροποιούνται σχεδόν καθόλου ως προς την κατάσταση απασχόλησης ανεξαρτήτως της ύπαρξης ή/και της βαρύτητας της αναπηρίας. Εξάγεται δηλαδή το συμπέρασμα ότι, η αναπηρία δεν αποτελεί παράγοντα που επηρεάζει το καθεστώς απασχόλησης στον πληθυσμό ηλικίας 65 και άνω, ενώ αντιστρόφως η </w:t>
      </w:r>
      <w:proofErr w:type="spellStart"/>
      <w:r>
        <w:rPr>
          <w:lang w:val="el-GR"/>
        </w:rPr>
        <w:t>υπερεκπροσώπηση</w:t>
      </w:r>
      <w:proofErr w:type="spellEnd"/>
      <w:r>
        <w:rPr>
          <w:lang w:val="el-GR"/>
        </w:rPr>
        <w:t xml:space="preserve"> των ηλικιωμένων στον συνολικό πληθυσμό των ατόμων με αναπηρία επηρεάζει σημαντικά τις μεταβλητές της απασχόλησης.</w:t>
      </w:r>
    </w:p>
    <w:p w14:paraId="2C7AAD8D" w14:textId="27350701" w:rsidR="007D51AE" w:rsidRDefault="00000000">
      <w:pPr>
        <w:jc w:val="both"/>
        <w:rPr>
          <w:lang w:val="el-GR"/>
        </w:rPr>
      </w:pPr>
      <w:r>
        <w:rPr>
          <w:lang w:val="el-GR"/>
        </w:rPr>
        <w:t xml:space="preserve">Στον οδηγό της </w:t>
      </w:r>
      <w:r>
        <w:t>ILO</w:t>
      </w:r>
      <w:r>
        <w:rPr>
          <w:lang w:val="el-GR"/>
        </w:rPr>
        <w:t xml:space="preserve"> (Διεθνής Οργάνωση Εργασίας) για τη βελτίωση των στατιστικών απασχόλησης των ατόμων με αναπηρία (</w:t>
      </w:r>
      <w:r>
        <w:t>The</w:t>
      </w:r>
      <w:r>
        <w:rPr>
          <w:lang w:val="el-GR"/>
        </w:rPr>
        <w:t xml:space="preserve"> </w:t>
      </w:r>
      <w:r>
        <w:t>Employment</w:t>
      </w:r>
      <w:r>
        <w:rPr>
          <w:lang w:val="el-GR"/>
        </w:rPr>
        <w:t xml:space="preserve"> </w:t>
      </w:r>
      <w:r>
        <w:t>Situation</w:t>
      </w:r>
      <w:r>
        <w:rPr>
          <w:lang w:val="el-GR"/>
        </w:rPr>
        <w:t xml:space="preserve"> </w:t>
      </w:r>
      <w:r>
        <w:t>of</w:t>
      </w:r>
      <w:r>
        <w:rPr>
          <w:lang w:val="el-GR"/>
        </w:rPr>
        <w:t xml:space="preserve"> </w:t>
      </w:r>
      <w:r>
        <w:t>People</w:t>
      </w:r>
      <w:r>
        <w:rPr>
          <w:lang w:val="el-GR"/>
        </w:rPr>
        <w:t xml:space="preserve"> </w:t>
      </w:r>
      <w:r>
        <w:t>with</w:t>
      </w:r>
      <w:r>
        <w:rPr>
          <w:lang w:val="el-GR"/>
        </w:rPr>
        <w:t xml:space="preserve"> </w:t>
      </w:r>
      <w:r>
        <w:t>Disabilities</w:t>
      </w:r>
      <w:r>
        <w:rPr>
          <w:lang w:val="el-GR"/>
        </w:rPr>
        <w:t xml:space="preserve">: </w:t>
      </w:r>
      <w:r>
        <w:t>Towards</w:t>
      </w:r>
      <w:r>
        <w:rPr>
          <w:lang w:val="el-GR"/>
        </w:rPr>
        <w:t xml:space="preserve"> </w:t>
      </w:r>
      <w:r>
        <w:t>Improved</w:t>
      </w:r>
      <w:r>
        <w:rPr>
          <w:lang w:val="el-GR"/>
        </w:rPr>
        <w:t xml:space="preserve"> </w:t>
      </w:r>
      <w:r>
        <w:lastRenderedPageBreak/>
        <w:t>Statistical</w:t>
      </w:r>
      <w:r>
        <w:rPr>
          <w:lang w:val="el-GR"/>
        </w:rPr>
        <w:t xml:space="preserve"> </w:t>
      </w:r>
      <w:r>
        <w:t>information</w:t>
      </w:r>
      <w:r>
        <w:rPr>
          <w:lang w:val="el-GR"/>
        </w:rPr>
        <w:t xml:space="preserve">, 2007), προτείνεται αναφορικά με την στατιστική ανάλυση των στοιχείων απασχόλησης, ο περιορισμός των ορίων ηλικίας του εργατικού δυναμικού με αναπηρία στο εύρος «15 έως 64 ετών». Στην παρούσα ανάλυση, βάσει και των παραπάνω, επιλέχθηκε να εξεταστούν οι δείκτες της απασχόλησης στις παραγωγικές ηλικίες 20-64 ετών, επιλογή που εξυπηρετεί ταυτόχρονα τη </w:t>
      </w:r>
      <w:proofErr w:type="spellStart"/>
      <w:r>
        <w:rPr>
          <w:lang w:val="el-GR"/>
        </w:rPr>
        <w:t>συγκρισιμότητα</w:t>
      </w:r>
      <w:proofErr w:type="spellEnd"/>
      <w:r>
        <w:rPr>
          <w:lang w:val="el-GR"/>
        </w:rPr>
        <w:t xml:space="preserve"> των στοιχείων με τους δείκτες και τους στόχους της ευρωπαϊκής αναπτυξιακής στρατηγικής «Ευρώπη 2020» για μια έξυπνη, βιώσιμη και χωρίς αποκλεισμούς οικονομία, καθώς και τους δείκτες του Στόχου 8-Αξιοπρεπής Εργασία και Οικονομική Ανάπτυξη της </w:t>
      </w:r>
      <w:r>
        <w:t>Agendas</w:t>
      </w:r>
      <w:r w:rsidR="00B44236">
        <w:rPr>
          <w:lang w:val="el-GR"/>
        </w:rPr>
        <w:t xml:space="preserve"> </w:t>
      </w:r>
      <w:r>
        <w:rPr>
          <w:lang w:val="el-GR"/>
        </w:rPr>
        <w:t>2030.</w:t>
      </w:r>
    </w:p>
    <w:p w14:paraId="7960B1F7" w14:textId="77777777" w:rsidR="007D51AE" w:rsidRDefault="007D51AE">
      <w:pPr>
        <w:rPr>
          <w:lang w:val="el-GR"/>
        </w:rPr>
      </w:pPr>
    </w:p>
    <w:sectPr w:rsidR="007D51AE">
      <w:headerReference w:type="default" r:id="rId23"/>
      <w:footerReference w:type="default" r:id="rId24"/>
      <w:headerReference w:type="first" r:id="rId25"/>
      <w:footerReference w:type="first" r:id="rId26"/>
      <w:pgSz w:w="11906" w:h="16838"/>
      <w:pgMar w:top="2977" w:right="1559" w:bottom="1440" w:left="156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50AD4" w14:textId="77777777" w:rsidR="00A24FCE" w:rsidRDefault="00A24FCE">
      <w:pPr>
        <w:spacing w:line="240" w:lineRule="auto"/>
      </w:pPr>
      <w:r>
        <w:separator/>
      </w:r>
    </w:p>
  </w:endnote>
  <w:endnote w:type="continuationSeparator" w:id="0">
    <w:p w14:paraId="46DCBFEA" w14:textId="77777777" w:rsidR="00A24FCE" w:rsidRDefault="00A24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827BE" w14:textId="77777777" w:rsidR="007D51AE" w:rsidRDefault="00000000">
    <w:pPr>
      <w:pStyle w:val="a8"/>
      <w:ind w:left="-1701" w:right="140"/>
      <w:jc w:val="right"/>
      <w:rPr>
        <w:lang w:val="el-GR"/>
      </w:rPr>
    </w:pPr>
    <w:r>
      <w:rPr>
        <w:rFonts w:asciiTheme="majorHAnsi" w:eastAsiaTheme="majorEastAsia" w:hAnsiTheme="majorHAnsi" w:cstheme="majorBidi"/>
        <w:sz w:val="20"/>
        <w:szCs w:val="20"/>
        <w:lang w:val="el-GR"/>
      </w:rPr>
      <w:t xml:space="preserve">σελ. </w:t>
    </w:r>
    <w:r>
      <w:rPr>
        <w:rFonts w:eastAsiaTheme="minorEastAsia"/>
        <w:sz w:val="20"/>
        <w:szCs w:val="20"/>
        <w:lang w:val="el-GR"/>
      </w:rPr>
      <w:fldChar w:fldCharType="begin"/>
    </w:r>
    <w:r>
      <w:rPr>
        <w:sz w:val="20"/>
        <w:szCs w:val="20"/>
        <w:lang w:val="el-GR"/>
      </w:rPr>
      <w:instrText>PAGE    \* MERGEFORMAT</w:instrText>
    </w:r>
    <w:r>
      <w:rPr>
        <w:rFonts w:eastAsiaTheme="minorEastAsia"/>
        <w:sz w:val="20"/>
        <w:szCs w:val="20"/>
        <w:lang w:val="el-GR"/>
      </w:rPr>
      <w:fldChar w:fldCharType="separate"/>
    </w:r>
    <w:r>
      <w:rPr>
        <w:rFonts w:eastAsiaTheme="minorEastAsia"/>
        <w:sz w:val="20"/>
        <w:szCs w:val="20"/>
        <w:lang w:val="el-GR"/>
      </w:rPr>
      <w:t>23</w:t>
    </w:r>
    <w:r>
      <w:rPr>
        <w:rFonts w:asciiTheme="majorHAnsi" w:eastAsiaTheme="majorEastAsia" w:hAnsiTheme="majorHAnsi" w:cstheme="majorBidi"/>
        <w:sz w:val="20"/>
        <w:szCs w:val="20"/>
        <w:lang w:val="el-GR"/>
      </w:rPr>
      <w:fldChar w:fldCharType="end"/>
    </w:r>
  </w:p>
  <w:p w14:paraId="2FE950C2" w14:textId="77777777" w:rsidR="007D51AE" w:rsidRDefault="00000000">
    <w:pPr>
      <w:pStyle w:val="a8"/>
    </w:pPr>
    <w:r>
      <w:rPr>
        <w:noProof/>
        <w:lang w:val="el-GR" w:eastAsia="el-GR"/>
      </w:rPr>
      <w:drawing>
        <wp:inline distT="0" distB="0" distL="0" distR="0" wp14:anchorId="4ED75400" wp14:editId="35BE6E66">
          <wp:extent cx="5490845" cy="698500"/>
          <wp:effectExtent l="0" t="0" r="0" b="0"/>
          <wp:docPr id="468880911" name="Εικόνα 468880911"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80911" name="Εικόνα 468880911"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a:picLocks noChangeAspect="1"/>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5490845" cy="698986"/>
                  </a:xfrm>
                  <a:prstGeom prst="rect">
                    <a:avLst/>
                  </a:prstGeom>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86FC" w14:textId="77777777" w:rsidR="007D51AE" w:rsidRDefault="00000000">
    <w:pPr>
      <w:pStyle w:val="a8"/>
    </w:pPr>
    <w:r>
      <w:rPr>
        <w:noProof/>
        <w:lang w:val="el-GR" w:eastAsia="el-GR"/>
      </w:rPr>
      <w:drawing>
        <wp:inline distT="0" distB="0" distL="0" distR="0" wp14:anchorId="4AEF5B3E" wp14:editId="5B8C2E44">
          <wp:extent cx="5490845" cy="698500"/>
          <wp:effectExtent l="0" t="0" r="0" b="0"/>
          <wp:docPr id="2117447998" name="Εικόνα 211744799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47998" name="Εικόνα 211744799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a:picLocks noChangeAspect="1"/>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5490845" cy="698986"/>
                  </a:xfrm>
                  <a:prstGeom prst="rect">
                    <a:avLst/>
                  </a:prstGeom>
                  <a:ln>
                    <a:noFill/>
                  </a:ln>
                </pic:spPr>
              </pic:pic>
            </a:graphicData>
          </a:graphic>
        </wp:inline>
      </w:drawing>
    </w:r>
  </w:p>
  <w:p w14:paraId="19B070ED" w14:textId="77777777" w:rsidR="007D51AE" w:rsidRDefault="007D51AE">
    <w:pPr>
      <w:pStyle w:val="a8"/>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86D83" w14:textId="77777777" w:rsidR="00A24FCE" w:rsidRDefault="00A24FCE">
      <w:pPr>
        <w:spacing w:after="0"/>
      </w:pPr>
      <w:r>
        <w:separator/>
      </w:r>
    </w:p>
  </w:footnote>
  <w:footnote w:type="continuationSeparator" w:id="0">
    <w:p w14:paraId="055891B1" w14:textId="77777777" w:rsidR="00A24FCE" w:rsidRDefault="00A24FCE">
      <w:pPr>
        <w:spacing w:after="0"/>
      </w:pPr>
      <w:r>
        <w:continuationSeparator/>
      </w:r>
    </w:p>
  </w:footnote>
  <w:footnote w:id="1">
    <w:p w14:paraId="796C96A0" w14:textId="6068910E" w:rsidR="007D51AE" w:rsidRDefault="00000000">
      <w:pPr>
        <w:pStyle w:val="aa"/>
        <w:jc w:val="both"/>
        <w:rPr>
          <w:lang w:val="el-GR"/>
        </w:rPr>
      </w:pPr>
      <w:r>
        <w:rPr>
          <w:rStyle w:val="a9"/>
        </w:rPr>
        <w:footnoteRef/>
      </w:r>
      <w:r>
        <w:rPr>
          <w:lang w:val="el-GR"/>
        </w:rPr>
        <w:t>Βρείτε όλα μας τα Δελτία στην Ιστοσελίδα της Πράξης «Παρατηρητήριο Θεμάτων Αναπηρίας» στο παρακάτω σύνδεσμο:</w:t>
      </w:r>
      <w:r w:rsidR="00B44236" w:rsidRPr="00B44236">
        <w:rPr>
          <w:lang w:val="el-GR"/>
        </w:rPr>
        <w:t xml:space="preserve"> </w:t>
      </w:r>
      <w:hyperlink r:id="rId1" w:history="1">
        <w:r>
          <w:rPr>
            <w:rStyle w:val="-0"/>
            <w:lang w:val="el-GR"/>
          </w:rPr>
          <w:t>https://www.paratiritirioanapirias.gr/el/results/publications</w:t>
        </w:r>
      </w:hyperlink>
      <w:r w:rsidR="00B44236" w:rsidRPr="00B44236">
        <w:rPr>
          <w:rStyle w:val="-0"/>
          <w:lang w:val="el-GR"/>
        </w:rPr>
        <w:t xml:space="preserve"> </w:t>
      </w:r>
    </w:p>
  </w:footnote>
  <w:footnote w:id="2">
    <w:p w14:paraId="5EEC088A" w14:textId="7F682D70" w:rsidR="007D51AE" w:rsidRDefault="00000000" w:rsidP="00B44236">
      <w:pPr>
        <w:jc w:val="both"/>
        <w:rPr>
          <w:lang w:val="el-GR"/>
        </w:rPr>
      </w:pPr>
      <w:r>
        <w:rPr>
          <w:rStyle w:val="a9"/>
        </w:rPr>
        <w:footnoteRef/>
      </w:r>
      <w:r>
        <w:rPr>
          <w:lang w:val="el-GR"/>
        </w:rPr>
        <w:t xml:space="preserve"> </w:t>
      </w:r>
      <w:r>
        <w:rPr>
          <w:sz w:val="18"/>
          <w:szCs w:val="18"/>
          <w:lang w:val="el-GR"/>
        </w:rPr>
        <w:t>Επισημαίνεται ότι λόγω διαφορετικής μεθοδολογικής προσέγγισης, οι εκτιμήσεις που βασίζονται στα στοιχεία της Έρευνας Εργατικού Δυναμικού διαφοροποιούνται σημαντικά σε σύγκριση με την έρευνα Εισοδήματος και Συνθηκών Διαβίωσης των Νοικοκυριών (</w:t>
      </w:r>
      <w:r>
        <w:rPr>
          <w:sz w:val="18"/>
          <w:szCs w:val="18"/>
        </w:rPr>
        <w:t>EU</w:t>
      </w:r>
      <w:r>
        <w:rPr>
          <w:sz w:val="18"/>
          <w:szCs w:val="18"/>
          <w:lang w:val="el-GR"/>
        </w:rPr>
        <w:t>-</w:t>
      </w:r>
      <w:proofErr w:type="spellStart"/>
      <w:r>
        <w:rPr>
          <w:sz w:val="18"/>
          <w:szCs w:val="18"/>
        </w:rPr>
        <w:t>Silc</w:t>
      </w:r>
      <w:proofErr w:type="spellEnd"/>
      <w:r>
        <w:rPr>
          <w:sz w:val="18"/>
          <w:szCs w:val="18"/>
          <w:lang w:val="el-GR"/>
        </w:rPr>
        <w:t>) που αποτελεί την βασική έρευνα αναφοράς για τα στατιστικά για την αναπηρία στην Ευρώπη και στην Ελλάδα.</w:t>
      </w:r>
    </w:p>
  </w:footnote>
  <w:footnote w:id="3">
    <w:p w14:paraId="31E69228" w14:textId="646391C9" w:rsidR="007D51AE" w:rsidRDefault="00000000" w:rsidP="00E855BC">
      <w:pPr>
        <w:pStyle w:val="aa"/>
        <w:jc w:val="both"/>
        <w:rPr>
          <w:lang w:val="el-GR"/>
        </w:rPr>
      </w:pPr>
      <w:r>
        <w:rPr>
          <w:rStyle w:val="a9"/>
        </w:rPr>
        <w:footnoteRef/>
      </w:r>
      <w:r>
        <w:rPr>
          <w:lang w:val="el-GR"/>
        </w:rPr>
        <w:t xml:space="preserve"> </w:t>
      </w:r>
      <w:r>
        <w:rPr>
          <w:lang w:val="el-GR"/>
        </w:rPr>
        <w:t>Λόγω διαφορετικής μεθοδολογικής προσέγγισης, οι εκτιμήσεις που βασίζονται στα στοιχεία της Έρευνας Εργατικού Δυναμικού διαφοροποιούνται σημαντικά σε σύγκριση με την έρευνα Εισοδήματος και Συνθηκών Διαβίωσης των Νοικοκυριών (</w:t>
      </w:r>
      <w:r>
        <w:t>EU</w:t>
      </w:r>
      <w:r>
        <w:rPr>
          <w:lang w:val="el-GR"/>
        </w:rPr>
        <w:t>-</w:t>
      </w:r>
      <w:proofErr w:type="spellStart"/>
      <w:r>
        <w:t>Silc</w:t>
      </w:r>
      <w:proofErr w:type="spellEnd"/>
      <w:r>
        <w:rPr>
          <w:lang w:val="el-GR"/>
        </w:rPr>
        <w:t>) που αποτελεί την βασική έρευνα αναφοράς για τα στατιστικά για την αναπηρία στην Ευρώπη και στην Ελλάδα. Αναλυτικότερα βλ. Παράρτημα Μεθοδολογικών Σημειώσεων (Ενότητα 1: Η Στατιστική Μέτρηση της Αναπηρίας).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D97A" w14:textId="77777777" w:rsidR="007D51AE" w:rsidRDefault="00000000">
    <w:pPr>
      <w:pStyle w:val="ab"/>
      <w:jc w:val="center"/>
    </w:pPr>
    <w:r>
      <w:rPr>
        <w:noProof/>
        <w:lang w:val="el-GR" w:eastAsia="el-GR"/>
      </w:rPr>
      <w:drawing>
        <wp:inline distT="0" distB="0" distL="0" distR="0" wp14:anchorId="4C76021F" wp14:editId="663C2B63">
          <wp:extent cx="5490210" cy="946785"/>
          <wp:effectExtent l="0" t="0" r="0" b="0"/>
          <wp:docPr id="2033798510" name="Εικόνα 2033798510" descr="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98510" name="Εικόνα 2033798510" descr="Εθνική Συνομοσπονδία Ατόμων με Αναπηρία (ΕΣΑμεΑ)&#10;National Confederation of Disabled People (NCDP)"/>
                  <pic:cNvPicPr>
                    <a:picLocks noChangeAspect="1"/>
                  </pic:cNvPicPr>
                </pic:nvPicPr>
                <pic:blipFill>
                  <a:blip r:embed="rId1">
                    <a:extLst>
                      <a:ext uri="{28A0092B-C50C-407E-A947-70E740481C1C}">
                        <a14:useLocalDpi xmlns:a14="http://schemas.microsoft.com/office/drawing/2010/main" val="0"/>
                      </a:ext>
                    </a:extLst>
                  </a:blip>
                  <a:srcRect b="9346"/>
                  <a:stretch>
                    <a:fillRect/>
                  </a:stretch>
                </pic:blipFill>
                <pic:spPr>
                  <a:xfrm>
                    <a:off x="0" y="0"/>
                    <a:ext cx="5490210" cy="947097"/>
                  </a:xfrm>
                  <a:prstGeom prst="rect">
                    <a:avLst/>
                  </a:prstGeom>
                  <a:ln>
                    <a:noFill/>
                  </a:ln>
                </pic:spPr>
              </pic:pic>
            </a:graphicData>
          </a:graphic>
        </wp:inline>
      </w:drawing>
    </w:r>
    <w:r>
      <w:rPr>
        <w:noProof/>
        <w:lang w:val="el-GR" w:eastAsia="el-GR"/>
      </w:rPr>
      <w:drawing>
        <wp:inline distT="0" distB="0" distL="0" distR="0" wp14:anchorId="2D5963C9" wp14:editId="5955E24C">
          <wp:extent cx="5400040" cy="647700"/>
          <wp:effectExtent l="0" t="0" r="0" b="0"/>
          <wp:docPr id="1115625993" name="Εικόνα 1115625993" descr="Λογότυπο του Επιχειρησιακού Προγράμματος Ανάπτυξη Ανθρώπινου Δυναμικού, Εκπαίδευση και Διά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25993" name="Εικόνα 1115625993" descr="Λογότυπο του Επιχειρησιακού Προγράμματος Ανάπτυξη Ανθρώπινου Δυναμικού, Εκπαίδευση και Διά Βίου Μάθηση"/>
                  <pic:cNvPicPr>
                    <a:picLocks noChangeAspect="1" noChangeArrowheads="1"/>
                  </pic:cNvPicPr>
                </pic:nvPicPr>
                <pic:blipFill>
                  <a:blip r:embed="rId2">
                    <a:extLst>
                      <a:ext uri="{28A0092B-C50C-407E-A947-70E740481C1C}">
                        <a14:useLocalDpi xmlns:a14="http://schemas.microsoft.com/office/drawing/2010/main" val="0"/>
                      </a:ext>
                    </a:extLst>
                  </a:blip>
                  <a:srcRect l="1" r="688" b="3603"/>
                  <a:stretch>
                    <a:fillRect/>
                  </a:stretch>
                </pic:blipFill>
                <pic:spPr>
                  <a:xfrm>
                    <a:off x="0" y="0"/>
                    <a:ext cx="5400040" cy="6477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28637" w14:textId="77777777" w:rsidR="007D51AE" w:rsidRDefault="00000000">
    <w:pPr>
      <w:pStyle w:val="ab"/>
      <w:spacing w:before="360"/>
      <w:ind w:left="-1701" w:right="-1298"/>
      <w:jc w:val="center"/>
    </w:pPr>
    <w:r>
      <w:rPr>
        <w:noProof/>
        <w:lang w:val="el-GR" w:eastAsia="el-GR"/>
      </w:rPr>
      <w:drawing>
        <wp:inline distT="0" distB="0" distL="0" distR="0" wp14:anchorId="659E1632" wp14:editId="7CC65F84">
          <wp:extent cx="6644640" cy="906780"/>
          <wp:effectExtent l="0" t="0" r="3810" b="0"/>
          <wp:docPr id="1348622889" name="Εικόνα 1348622889" descr="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22889" name="Εικόνα 1348622889" descr="Εθνική Συνομοσπονδία Ατόμων με Αναπηρία (ΕΣΑμεΑ)&#10;National Confederation of Disabled People (NCDP)"/>
                  <pic:cNvPicPr>
                    <a:picLocks noChangeAspect="1"/>
                  </pic:cNvPicPr>
                </pic:nvPicPr>
                <pic:blipFill>
                  <a:blip r:embed="rId1">
                    <a:extLst>
                      <a:ext uri="{28A0092B-C50C-407E-A947-70E740481C1C}">
                        <a14:useLocalDpi xmlns:a14="http://schemas.microsoft.com/office/drawing/2010/main" val="0"/>
                      </a:ext>
                    </a:extLst>
                  </a:blip>
                  <a:srcRect b="9346"/>
                  <a:stretch>
                    <a:fillRect/>
                  </a:stretch>
                </pic:blipFill>
                <pic:spPr>
                  <a:xfrm>
                    <a:off x="0" y="0"/>
                    <a:ext cx="6647616" cy="907186"/>
                  </a:xfrm>
                  <a:prstGeom prst="rect">
                    <a:avLst/>
                  </a:prstGeom>
                  <a:ln>
                    <a:noFill/>
                  </a:ln>
                </pic:spPr>
              </pic:pic>
            </a:graphicData>
          </a:graphic>
        </wp:inline>
      </w:drawing>
    </w:r>
    <w:r>
      <w:rPr>
        <w:noProof/>
        <w:lang w:val="el-GR" w:eastAsia="el-GR"/>
      </w:rPr>
      <w:drawing>
        <wp:inline distT="0" distB="0" distL="0" distR="0" wp14:anchorId="614B459C" wp14:editId="1FBA58DA">
          <wp:extent cx="6187440" cy="876300"/>
          <wp:effectExtent l="0" t="0" r="3810" b="0"/>
          <wp:docPr id="1803123920" name="Εικόνα 1803123920" descr="Λογότυπο του Επιχειρησιακού Προγράμματος Ανάπτυξη Ανθρώπινου Δυναμικού, Εκπαίδευση και Διά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23920" name="Εικόνα 1803123920" descr="Λογότυπο του Επιχειρησιακού Προγράμματος Ανάπτυξη Ανθρώπινου Δυναμικού, Εκπαίδευση και Διά Βίου Μάθηση"/>
                  <pic:cNvPicPr>
                    <a:picLocks noChangeAspect="1" noChangeArrowheads="1"/>
                  </pic:cNvPicPr>
                </pic:nvPicPr>
                <pic:blipFill>
                  <a:blip r:embed="rId2">
                    <a:extLst>
                      <a:ext uri="{28A0092B-C50C-407E-A947-70E740481C1C}">
                        <a14:useLocalDpi xmlns:a14="http://schemas.microsoft.com/office/drawing/2010/main" val="0"/>
                      </a:ext>
                    </a:extLst>
                  </a:blip>
                  <a:srcRect l="1" r="688" b="3603"/>
                  <a:stretch>
                    <a:fillRect/>
                  </a:stretch>
                </pic:blipFill>
                <pic:spPr>
                  <a:xfrm>
                    <a:off x="0" y="0"/>
                    <a:ext cx="6187440"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67599"/>
    <w:multiLevelType w:val="multilevel"/>
    <w:tmpl w:val="0F66759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17F17EC"/>
    <w:multiLevelType w:val="hybridMultilevel"/>
    <w:tmpl w:val="C16E2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29366F"/>
    <w:multiLevelType w:val="hybridMultilevel"/>
    <w:tmpl w:val="F9549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F00CA9"/>
    <w:multiLevelType w:val="multilevel"/>
    <w:tmpl w:val="52F00CA9"/>
    <w:lvl w:ilvl="0">
      <w:start w:val="1"/>
      <w:numFmt w:val="decimal"/>
      <w:pStyle w:val="1"/>
      <w:lvlText w:val="%1"/>
      <w:lvlJc w:val="left"/>
      <w:pPr>
        <w:ind w:left="432" w:hanging="432"/>
      </w:pPr>
      <w:rPr>
        <w:rFonts w:hint="default"/>
      </w:rPr>
    </w:lvl>
    <w:lvl w:ilvl="1">
      <w:start w:val="1"/>
      <w:numFmt w:val="decimal"/>
      <w:pStyle w:val="2"/>
      <w:lvlText w:val="%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 w15:restartNumberingAfterBreak="0">
    <w:nsid w:val="7EC22AD3"/>
    <w:multiLevelType w:val="multilevel"/>
    <w:tmpl w:val="7EC22A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18534517">
    <w:abstractNumId w:val="3"/>
  </w:num>
  <w:num w:numId="2" w16cid:durableId="944075374">
    <w:abstractNumId w:val="4"/>
  </w:num>
  <w:num w:numId="3" w16cid:durableId="1907298787">
    <w:abstractNumId w:val="0"/>
  </w:num>
  <w:num w:numId="4" w16cid:durableId="2067676675">
    <w:abstractNumId w:val="2"/>
  </w:num>
  <w:num w:numId="5" w16cid:durableId="1916043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FB2"/>
    <w:rsid w:val="00000401"/>
    <w:rsid w:val="00000F04"/>
    <w:rsid w:val="00001B0E"/>
    <w:rsid w:val="00001C48"/>
    <w:rsid w:val="0000287E"/>
    <w:rsid w:val="00004A64"/>
    <w:rsid w:val="00004F59"/>
    <w:rsid w:val="00006238"/>
    <w:rsid w:val="00010D6F"/>
    <w:rsid w:val="00011632"/>
    <w:rsid w:val="00013C12"/>
    <w:rsid w:val="000141B9"/>
    <w:rsid w:val="0001569F"/>
    <w:rsid w:val="00016989"/>
    <w:rsid w:val="0002091C"/>
    <w:rsid w:val="00020C87"/>
    <w:rsid w:val="000235A7"/>
    <w:rsid w:val="00023EA3"/>
    <w:rsid w:val="000251A7"/>
    <w:rsid w:val="00026292"/>
    <w:rsid w:val="00026DEE"/>
    <w:rsid w:val="0002706F"/>
    <w:rsid w:val="00027487"/>
    <w:rsid w:val="000277EF"/>
    <w:rsid w:val="00027AA3"/>
    <w:rsid w:val="00030659"/>
    <w:rsid w:val="00030AC1"/>
    <w:rsid w:val="00030B4F"/>
    <w:rsid w:val="00030B66"/>
    <w:rsid w:val="0003219C"/>
    <w:rsid w:val="000326C8"/>
    <w:rsid w:val="00032998"/>
    <w:rsid w:val="00033E31"/>
    <w:rsid w:val="0003410A"/>
    <w:rsid w:val="00034FCC"/>
    <w:rsid w:val="00035153"/>
    <w:rsid w:val="00036148"/>
    <w:rsid w:val="00036267"/>
    <w:rsid w:val="000364EB"/>
    <w:rsid w:val="00036AFB"/>
    <w:rsid w:val="00036E31"/>
    <w:rsid w:val="0003746F"/>
    <w:rsid w:val="000401D1"/>
    <w:rsid w:val="00040C1E"/>
    <w:rsid w:val="00040CA9"/>
    <w:rsid w:val="000431CF"/>
    <w:rsid w:val="00044D92"/>
    <w:rsid w:val="00045C42"/>
    <w:rsid w:val="00046688"/>
    <w:rsid w:val="00047068"/>
    <w:rsid w:val="000476D6"/>
    <w:rsid w:val="0004785C"/>
    <w:rsid w:val="00050137"/>
    <w:rsid w:val="000514F1"/>
    <w:rsid w:val="00051811"/>
    <w:rsid w:val="00053EFC"/>
    <w:rsid w:val="00054C66"/>
    <w:rsid w:val="000568F8"/>
    <w:rsid w:val="00056984"/>
    <w:rsid w:val="00057501"/>
    <w:rsid w:val="00057539"/>
    <w:rsid w:val="00057811"/>
    <w:rsid w:val="0005793A"/>
    <w:rsid w:val="000603B1"/>
    <w:rsid w:val="0006162C"/>
    <w:rsid w:val="00062552"/>
    <w:rsid w:val="00063077"/>
    <w:rsid w:val="00064787"/>
    <w:rsid w:val="00064AB8"/>
    <w:rsid w:val="00064DB2"/>
    <w:rsid w:val="000664D0"/>
    <w:rsid w:val="00066546"/>
    <w:rsid w:val="000674F2"/>
    <w:rsid w:val="00067CD5"/>
    <w:rsid w:val="00073C36"/>
    <w:rsid w:val="00074F40"/>
    <w:rsid w:val="00076819"/>
    <w:rsid w:val="000769FF"/>
    <w:rsid w:val="00080E7B"/>
    <w:rsid w:val="000817A1"/>
    <w:rsid w:val="00081EB3"/>
    <w:rsid w:val="000825F5"/>
    <w:rsid w:val="00082630"/>
    <w:rsid w:val="00083EBB"/>
    <w:rsid w:val="00083F90"/>
    <w:rsid w:val="00091429"/>
    <w:rsid w:val="000928C5"/>
    <w:rsid w:val="00095D5C"/>
    <w:rsid w:val="00097592"/>
    <w:rsid w:val="000A3589"/>
    <w:rsid w:val="000A4359"/>
    <w:rsid w:val="000A67ED"/>
    <w:rsid w:val="000A7205"/>
    <w:rsid w:val="000B0FDE"/>
    <w:rsid w:val="000B1003"/>
    <w:rsid w:val="000B3814"/>
    <w:rsid w:val="000B3D31"/>
    <w:rsid w:val="000B4243"/>
    <w:rsid w:val="000B4DF3"/>
    <w:rsid w:val="000B6438"/>
    <w:rsid w:val="000B7F76"/>
    <w:rsid w:val="000C037E"/>
    <w:rsid w:val="000C2646"/>
    <w:rsid w:val="000C28D2"/>
    <w:rsid w:val="000C318A"/>
    <w:rsid w:val="000C33EE"/>
    <w:rsid w:val="000C40F9"/>
    <w:rsid w:val="000C54CC"/>
    <w:rsid w:val="000C6F93"/>
    <w:rsid w:val="000C75E0"/>
    <w:rsid w:val="000C7AC1"/>
    <w:rsid w:val="000C7D79"/>
    <w:rsid w:val="000D1AD9"/>
    <w:rsid w:val="000D2E36"/>
    <w:rsid w:val="000D3BE7"/>
    <w:rsid w:val="000D4C81"/>
    <w:rsid w:val="000D70C9"/>
    <w:rsid w:val="000E0E48"/>
    <w:rsid w:val="000E1B25"/>
    <w:rsid w:val="000E21F4"/>
    <w:rsid w:val="000E22CF"/>
    <w:rsid w:val="000E2EFC"/>
    <w:rsid w:val="000E494A"/>
    <w:rsid w:val="000E4ABF"/>
    <w:rsid w:val="000E4CB0"/>
    <w:rsid w:val="000E51F1"/>
    <w:rsid w:val="000E56E0"/>
    <w:rsid w:val="000E5ABB"/>
    <w:rsid w:val="000E6AC3"/>
    <w:rsid w:val="000E6AD4"/>
    <w:rsid w:val="000E7D00"/>
    <w:rsid w:val="000F057C"/>
    <w:rsid w:val="000F19A4"/>
    <w:rsid w:val="000F1A80"/>
    <w:rsid w:val="000F1BE8"/>
    <w:rsid w:val="000F20A7"/>
    <w:rsid w:val="000F32BF"/>
    <w:rsid w:val="000F464E"/>
    <w:rsid w:val="001001A5"/>
    <w:rsid w:val="001016BA"/>
    <w:rsid w:val="00101E3E"/>
    <w:rsid w:val="00102193"/>
    <w:rsid w:val="00102B01"/>
    <w:rsid w:val="00103585"/>
    <w:rsid w:val="0010411B"/>
    <w:rsid w:val="00104126"/>
    <w:rsid w:val="00105644"/>
    <w:rsid w:val="0010691C"/>
    <w:rsid w:val="00107885"/>
    <w:rsid w:val="00107C12"/>
    <w:rsid w:val="00107F11"/>
    <w:rsid w:val="00111513"/>
    <w:rsid w:val="0011470C"/>
    <w:rsid w:val="00114A1F"/>
    <w:rsid w:val="00115383"/>
    <w:rsid w:val="00117798"/>
    <w:rsid w:val="001178DE"/>
    <w:rsid w:val="00120801"/>
    <w:rsid w:val="001208F8"/>
    <w:rsid w:val="00121FC3"/>
    <w:rsid w:val="001220B2"/>
    <w:rsid w:val="00122357"/>
    <w:rsid w:val="001228E5"/>
    <w:rsid w:val="00122E0D"/>
    <w:rsid w:val="001240F2"/>
    <w:rsid w:val="001241AA"/>
    <w:rsid w:val="00124938"/>
    <w:rsid w:val="00124A66"/>
    <w:rsid w:val="001254A2"/>
    <w:rsid w:val="00125908"/>
    <w:rsid w:val="00127A30"/>
    <w:rsid w:val="00130F9F"/>
    <w:rsid w:val="00133290"/>
    <w:rsid w:val="00135C22"/>
    <w:rsid w:val="00136067"/>
    <w:rsid w:val="00136322"/>
    <w:rsid w:val="0013767A"/>
    <w:rsid w:val="001379D4"/>
    <w:rsid w:val="00137E34"/>
    <w:rsid w:val="00140B0F"/>
    <w:rsid w:val="001412B3"/>
    <w:rsid w:val="001419D8"/>
    <w:rsid w:val="00141A47"/>
    <w:rsid w:val="00141FD5"/>
    <w:rsid w:val="00142759"/>
    <w:rsid w:val="00143389"/>
    <w:rsid w:val="00143650"/>
    <w:rsid w:val="001453ED"/>
    <w:rsid w:val="00146455"/>
    <w:rsid w:val="0014671D"/>
    <w:rsid w:val="00147711"/>
    <w:rsid w:val="0014790E"/>
    <w:rsid w:val="00147AB1"/>
    <w:rsid w:val="00150307"/>
    <w:rsid w:val="00152A10"/>
    <w:rsid w:val="00155A8F"/>
    <w:rsid w:val="00155B1B"/>
    <w:rsid w:val="00155B9C"/>
    <w:rsid w:val="00156294"/>
    <w:rsid w:val="0015674F"/>
    <w:rsid w:val="00156A87"/>
    <w:rsid w:val="001600E4"/>
    <w:rsid w:val="001612A5"/>
    <w:rsid w:val="001615F4"/>
    <w:rsid w:val="001623D3"/>
    <w:rsid w:val="00162860"/>
    <w:rsid w:val="00163E31"/>
    <w:rsid w:val="001645B6"/>
    <w:rsid w:val="001647E0"/>
    <w:rsid w:val="00164C3B"/>
    <w:rsid w:val="0016570D"/>
    <w:rsid w:val="0016630F"/>
    <w:rsid w:val="00166C4F"/>
    <w:rsid w:val="00167E48"/>
    <w:rsid w:val="0017007C"/>
    <w:rsid w:val="00170112"/>
    <w:rsid w:val="00172F99"/>
    <w:rsid w:val="00173737"/>
    <w:rsid w:val="00173D7F"/>
    <w:rsid w:val="00174640"/>
    <w:rsid w:val="00175055"/>
    <w:rsid w:val="001755B7"/>
    <w:rsid w:val="00175766"/>
    <w:rsid w:val="0017715F"/>
    <w:rsid w:val="0017750C"/>
    <w:rsid w:val="00177DE2"/>
    <w:rsid w:val="00180F0E"/>
    <w:rsid w:val="00181FA0"/>
    <w:rsid w:val="00182BD8"/>
    <w:rsid w:val="0018317E"/>
    <w:rsid w:val="001861A9"/>
    <w:rsid w:val="00190721"/>
    <w:rsid w:val="001912EA"/>
    <w:rsid w:val="00191617"/>
    <w:rsid w:val="00192299"/>
    <w:rsid w:val="0019273B"/>
    <w:rsid w:val="00192DE8"/>
    <w:rsid w:val="00192E40"/>
    <w:rsid w:val="00193C8C"/>
    <w:rsid w:val="00195DDA"/>
    <w:rsid w:val="00195EFF"/>
    <w:rsid w:val="00196E8E"/>
    <w:rsid w:val="00197483"/>
    <w:rsid w:val="00197632"/>
    <w:rsid w:val="0019795A"/>
    <w:rsid w:val="00197F60"/>
    <w:rsid w:val="001A0A17"/>
    <w:rsid w:val="001A0DAE"/>
    <w:rsid w:val="001A0E0A"/>
    <w:rsid w:val="001A157B"/>
    <w:rsid w:val="001A2A51"/>
    <w:rsid w:val="001A2DB2"/>
    <w:rsid w:val="001A2EF1"/>
    <w:rsid w:val="001A415E"/>
    <w:rsid w:val="001A4803"/>
    <w:rsid w:val="001A4B01"/>
    <w:rsid w:val="001A4B99"/>
    <w:rsid w:val="001A766F"/>
    <w:rsid w:val="001A78F7"/>
    <w:rsid w:val="001B1CE7"/>
    <w:rsid w:val="001B22E8"/>
    <w:rsid w:val="001B2554"/>
    <w:rsid w:val="001B2983"/>
    <w:rsid w:val="001B38E7"/>
    <w:rsid w:val="001B3FF5"/>
    <w:rsid w:val="001B5099"/>
    <w:rsid w:val="001C0348"/>
    <w:rsid w:val="001C03B2"/>
    <w:rsid w:val="001C086F"/>
    <w:rsid w:val="001C153F"/>
    <w:rsid w:val="001C1F90"/>
    <w:rsid w:val="001C3CFE"/>
    <w:rsid w:val="001C503D"/>
    <w:rsid w:val="001C5C5D"/>
    <w:rsid w:val="001C6D9B"/>
    <w:rsid w:val="001C752A"/>
    <w:rsid w:val="001D00EE"/>
    <w:rsid w:val="001D0A17"/>
    <w:rsid w:val="001D137C"/>
    <w:rsid w:val="001D2A70"/>
    <w:rsid w:val="001D2EDD"/>
    <w:rsid w:val="001D3091"/>
    <w:rsid w:val="001D35FA"/>
    <w:rsid w:val="001D3672"/>
    <w:rsid w:val="001D37F3"/>
    <w:rsid w:val="001D4E68"/>
    <w:rsid w:val="001D5992"/>
    <w:rsid w:val="001D5F1A"/>
    <w:rsid w:val="001D6A57"/>
    <w:rsid w:val="001D6FC1"/>
    <w:rsid w:val="001D74D2"/>
    <w:rsid w:val="001D764A"/>
    <w:rsid w:val="001E04ED"/>
    <w:rsid w:val="001E12EA"/>
    <w:rsid w:val="001E323F"/>
    <w:rsid w:val="001E4AC0"/>
    <w:rsid w:val="001E62B3"/>
    <w:rsid w:val="001E6AAF"/>
    <w:rsid w:val="001E7BA9"/>
    <w:rsid w:val="001F3B9B"/>
    <w:rsid w:val="001F4A63"/>
    <w:rsid w:val="001F52C8"/>
    <w:rsid w:val="001F63F0"/>
    <w:rsid w:val="001F6A5E"/>
    <w:rsid w:val="001F6EF6"/>
    <w:rsid w:val="001F7564"/>
    <w:rsid w:val="002002E3"/>
    <w:rsid w:val="00200897"/>
    <w:rsid w:val="00200BE7"/>
    <w:rsid w:val="0020258C"/>
    <w:rsid w:val="0020260D"/>
    <w:rsid w:val="002039C0"/>
    <w:rsid w:val="00203EB7"/>
    <w:rsid w:val="00204642"/>
    <w:rsid w:val="00204986"/>
    <w:rsid w:val="00206058"/>
    <w:rsid w:val="002073FF"/>
    <w:rsid w:val="002116D5"/>
    <w:rsid w:val="00212CC9"/>
    <w:rsid w:val="00212FFF"/>
    <w:rsid w:val="00213404"/>
    <w:rsid w:val="002144EA"/>
    <w:rsid w:val="00214EBA"/>
    <w:rsid w:val="0021573C"/>
    <w:rsid w:val="002157AD"/>
    <w:rsid w:val="00216669"/>
    <w:rsid w:val="0021728C"/>
    <w:rsid w:val="002201F2"/>
    <w:rsid w:val="00222527"/>
    <w:rsid w:val="00222C20"/>
    <w:rsid w:val="002250FA"/>
    <w:rsid w:val="00225304"/>
    <w:rsid w:val="00225305"/>
    <w:rsid w:val="00225537"/>
    <w:rsid w:val="002261CA"/>
    <w:rsid w:val="002269B0"/>
    <w:rsid w:val="00227C7F"/>
    <w:rsid w:val="00227ECE"/>
    <w:rsid w:val="002309C0"/>
    <w:rsid w:val="00230FEB"/>
    <w:rsid w:val="00231092"/>
    <w:rsid w:val="002313EC"/>
    <w:rsid w:val="00231D4F"/>
    <w:rsid w:val="00231F2B"/>
    <w:rsid w:val="00232921"/>
    <w:rsid w:val="00232D4D"/>
    <w:rsid w:val="00235081"/>
    <w:rsid w:val="002350D8"/>
    <w:rsid w:val="0023531A"/>
    <w:rsid w:val="002358EA"/>
    <w:rsid w:val="00235D14"/>
    <w:rsid w:val="002369C6"/>
    <w:rsid w:val="00237E8E"/>
    <w:rsid w:val="0024363C"/>
    <w:rsid w:val="00244749"/>
    <w:rsid w:val="00245176"/>
    <w:rsid w:val="00246088"/>
    <w:rsid w:val="00246EDE"/>
    <w:rsid w:val="00247073"/>
    <w:rsid w:val="002521B4"/>
    <w:rsid w:val="00253166"/>
    <w:rsid w:val="00254B70"/>
    <w:rsid w:val="00255BAD"/>
    <w:rsid w:val="002561F5"/>
    <w:rsid w:val="00257015"/>
    <w:rsid w:val="00257BD8"/>
    <w:rsid w:val="00260620"/>
    <w:rsid w:val="00260D0E"/>
    <w:rsid w:val="002640C3"/>
    <w:rsid w:val="0026429F"/>
    <w:rsid w:val="002648EF"/>
    <w:rsid w:val="0026536B"/>
    <w:rsid w:val="002653D4"/>
    <w:rsid w:val="002669F4"/>
    <w:rsid w:val="00267765"/>
    <w:rsid w:val="002679EF"/>
    <w:rsid w:val="00271088"/>
    <w:rsid w:val="002710F5"/>
    <w:rsid w:val="00271EC1"/>
    <w:rsid w:val="00273C2C"/>
    <w:rsid w:val="00273E07"/>
    <w:rsid w:val="0027406D"/>
    <w:rsid w:val="00275014"/>
    <w:rsid w:val="00275553"/>
    <w:rsid w:val="0027752E"/>
    <w:rsid w:val="00281166"/>
    <w:rsid w:val="00282458"/>
    <w:rsid w:val="002835DA"/>
    <w:rsid w:val="00283ECB"/>
    <w:rsid w:val="00285961"/>
    <w:rsid w:val="00290406"/>
    <w:rsid w:val="00291A1F"/>
    <w:rsid w:val="0029276C"/>
    <w:rsid w:val="00293743"/>
    <w:rsid w:val="0029431E"/>
    <w:rsid w:val="002943E5"/>
    <w:rsid w:val="00294795"/>
    <w:rsid w:val="002956E5"/>
    <w:rsid w:val="00297B4E"/>
    <w:rsid w:val="002A09DB"/>
    <w:rsid w:val="002A1383"/>
    <w:rsid w:val="002A1BE9"/>
    <w:rsid w:val="002A1C99"/>
    <w:rsid w:val="002A3AA8"/>
    <w:rsid w:val="002A4671"/>
    <w:rsid w:val="002A52C8"/>
    <w:rsid w:val="002A5E5A"/>
    <w:rsid w:val="002A7F9A"/>
    <w:rsid w:val="002B0AD5"/>
    <w:rsid w:val="002B0F74"/>
    <w:rsid w:val="002B16EC"/>
    <w:rsid w:val="002B292D"/>
    <w:rsid w:val="002B2E7D"/>
    <w:rsid w:val="002B316F"/>
    <w:rsid w:val="002B508B"/>
    <w:rsid w:val="002B59B0"/>
    <w:rsid w:val="002B6A65"/>
    <w:rsid w:val="002B6E3E"/>
    <w:rsid w:val="002C0A1C"/>
    <w:rsid w:val="002C0BE8"/>
    <w:rsid w:val="002C10B1"/>
    <w:rsid w:val="002C2221"/>
    <w:rsid w:val="002C2572"/>
    <w:rsid w:val="002C47EE"/>
    <w:rsid w:val="002C4D68"/>
    <w:rsid w:val="002C52CE"/>
    <w:rsid w:val="002C5A76"/>
    <w:rsid w:val="002C5DE1"/>
    <w:rsid w:val="002C6570"/>
    <w:rsid w:val="002C71A4"/>
    <w:rsid w:val="002C75E5"/>
    <w:rsid w:val="002C7C23"/>
    <w:rsid w:val="002D072A"/>
    <w:rsid w:val="002D0B63"/>
    <w:rsid w:val="002D0E42"/>
    <w:rsid w:val="002D115E"/>
    <w:rsid w:val="002D1D04"/>
    <w:rsid w:val="002D2023"/>
    <w:rsid w:val="002D2673"/>
    <w:rsid w:val="002D37CA"/>
    <w:rsid w:val="002D395C"/>
    <w:rsid w:val="002D3EEB"/>
    <w:rsid w:val="002D40C5"/>
    <w:rsid w:val="002D557F"/>
    <w:rsid w:val="002D679C"/>
    <w:rsid w:val="002D70C9"/>
    <w:rsid w:val="002D7418"/>
    <w:rsid w:val="002D7B7A"/>
    <w:rsid w:val="002E13B5"/>
    <w:rsid w:val="002E161F"/>
    <w:rsid w:val="002E3124"/>
    <w:rsid w:val="002E3266"/>
    <w:rsid w:val="002E378C"/>
    <w:rsid w:val="002E45AD"/>
    <w:rsid w:val="002E4CB4"/>
    <w:rsid w:val="002E5997"/>
    <w:rsid w:val="002E6272"/>
    <w:rsid w:val="002E70E3"/>
    <w:rsid w:val="002E7665"/>
    <w:rsid w:val="002E7B62"/>
    <w:rsid w:val="002F00F5"/>
    <w:rsid w:val="002F1E9B"/>
    <w:rsid w:val="002F1EC5"/>
    <w:rsid w:val="002F2388"/>
    <w:rsid w:val="002F4B34"/>
    <w:rsid w:val="002F56E7"/>
    <w:rsid w:val="002F5C47"/>
    <w:rsid w:val="002F5DEA"/>
    <w:rsid w:val="002F77B6"/>
    <w:rsid w:val="00300331"/>
    <w:rsid w:val="00301453"/>
    <w:rsid w:val="00301FD6"/>
    <w:rsid w:val="0030347E"/>
    <w:rsid w:val="00303E53"/>
    <w:rsid w:val="0030416A"/>
    <w:rsid w:val="00305F28"/>
    <w:rsid w:val="00306F87"/>
    <w:rsid w:val="003070F3"/>
    <w:rsid w:val="00315B61"/>
    <w:rsid w:val="003161F4"/>
    <w:rsid w:val="00316412"/>
    <w:rsid w:val="00316833"/>
    <w:rsid w:val="00316B0A"/>
    <w:rsid w:val="00317A10"/>
    <w:rsid w:val="00317D0D"/>
    <w:rsid w:val="00317ED8"/>
    <w:rsid w:val="003201B9"/>
    <w:rsid w:val="00323EF5"/>
    <w:rsid w:val="00324516"/>
    <w:rsid w:val="003276EB"/>
    <w:rsid w:val="00331DFE"/>
    <w:rsid w:val="0033245E"/>
    <w:rsid w:val="003330EA"/>
    <w:rsid w:val="00333438"/>
    <w:rsid w:val="00333599"/>
    <w:rsid w:val="00333895"/>
    <w:rsid w:val="00335087"/>
    <w:rsid w:val="003350FE"/>
    <w:rsid w:val="00335BE3"/>
    <w:rsid w:val="003361D5"/>
    <w:rsid w:val="00336623"/>
    <w:rsid w:val="00337707"/>
    <w:rsid w:val="00341B31"/>
    <w:rsid w:val="003436DD"/>
    <w:rsid w:val="00343769"/>
    <w:rsid w:val="00343876"/>
    <w:rsid w:val="0034403A"/>
    <w:rsid w:val="003460F2"/>
    <w:rsid w:val="00347356"/>
    <w:rsid w:val="00347517"/>
    <w:rsid w:val="003478A0"/>
    <w:rsid w:val="00347FD2"/>
    <w:rsid w:val="00351FD5"/>
    <w:rsid w:val="003529E6"/>
    <w:rsid w:val="00352D70"/>
    <w:rsid w:val="003530C9"/>
    <w:rsid w:val="003533B1"/>
    <w:rsid w:val="003533DE"/>
    <w:rsid w:val="003570AA"/>
    <w:rsid w:val="003572AC"/>
    <w:rsid w:val="00357E25"/>
    <w:rsid w:val="0036077E"/>
    <w:rsid w:val="00360CB7"/>
    <w:rsid w:val="00360F1B"/>
    <w:rsid w:val="003621D5"/>
    <w:rsid w:val="003626C7"/>
    <w:rsid w:val="00362E4B"/>
    <w:rsid w:val="003638B2"/>
    <w:rsid w:val="00363FF6"/>
    <w:rsid w:val="003645F9"/>
    <w:rsid w:val="003652B9"/>
    <w:rsid w:val="00365324"/>
    <w:rsid w:val="00365AD7"/>
    <w:rsid w:val="0036626B"/>
    <w:rsid w:val="00367060"/>
    <w:rsid w:val="00372060"/>
    <w:rsid w:val="00372803"/>
    <w:rsid w:val="00372818"/>
    <w:rsid w:val="00373A86"/>
    <w:rsid w:val="00374572"/>
    <w:rsid w:val="00377025"/>
    <w:rsid w:val="003775B4"/>
    <w:rsid w:val="003800AB"/>
    <w:rsid w:val="00380183"/>
    <w:rsid w:val="00381A73"/>
    <w:rsid w:val="00382583"/>
    <w:rsid w:val="003827A0"/>
    <w:rsid w:val="00382CC6"/>
    <w:rsid w:val="00382EFA"/>
    <w:rsid w:val="003855FE"/>
    <w:rsid w:val="0038573B"/>
    <w:rsid w:val="00385E69"/>
    <w:rsid w:val="003861E8"/>
    <w:rsid w:val="00390E5D"/>
    <w:rsid w:val="003910F9"/>
    <w:rsid w:val="0039264E"/>
    <w:rsid w:val="00393F0D"/>
    <w:rsid w:val="00394F81"/>
    <w:rsid w:val="00397072"/>
    <w:rsid w:val="00397972"/>
    <w:rsid w:val="00397A70"/>
    <w:rsid w:val="003A006D"/>
    <w:rsid w:val="003A0D20"/>
    <w:rsid w:val="003A1BE5"/>
    <w:rsid w:val="003A3495"/>
    <w:rsid w:val="003A4054"/>
    <w:rsid w:val="003A48E6"/>
    <w:rsid w:val="003A599D"/>
    <w:rsid w:val="003A5D8D"/>
    <w:rsid w:val="003A6C73"/>
    <w:rsid w:val="003A7E34"/>
    <w:rsid w:val="003B1441"/>
    <w:rsid w:val="003B168D"/>
    <w:rsid w:val="003B41D9"/>
    <w:rsid w:val="003B4A60"/>
    <w:rsid w:val="003B4C8A"/>
    <w:rsid w:val="003B4D49"/>
    <w:rsid w:val="003B52E6"/>
    <w:rsid w:val="003B731F"/>
    <w:rsid w:val="003C0900"/>
    <w:rsid w:val="003C0A09"/>
    <w:rsid w:val="003C0C5D"/>
    <w:rsid w:val="003C1230"/>
    <w:rsid w:val="003C1E35"/>
    <w:rsid w:val="003C4A75"/>
    <w:rsid w:val="003C5D81"/>
    <w:rsid w:val="003C73ED"/>
    <w:rsid w:val="003D06FB"/>
    <w:rsid w:val="003D1DB7"/>
    <w:rsid w:val="003D41C5"/>
    <w:rsid w:val="003D6928"/>
    <w:rsid w:val="003D722C"/>
    <w:rsid w:val="003D74B4"/>
    <w:rsid w:val="003E0A03"/>
    <w:rsid w:val="003E1175"/>
    <w:rsid w:val="003E5906"/>
    <w:rsid w:val="003E668B"/>
    <w:rsid w:val="003E6C76"/>
    <w:rsid w:val="003E7456"/>
    <w:rsid w:val="003E76B6"/>
    <w:rsid w:val="003F03DB"/>
    <w:rsid w:val="003F0500"/>
    <w:rsid w:val="003F12F6"/>
    <w:rsid w:val="003F2D35"/>
    <w:rsid w:val="003F3C89"/>
    <w:rsid w:val="003F3ED3"/>
    <w:rsid w:val="003F4529"/>
    <w:rsid w:val="003F5690"/>
    <w:rsid w:val="003F79E1"/>
    <w:rsid w:val="00400995"/>
    <w:rsid w:val="00400C58"/>
    <w:rsid w:val="00401F78"/>
    <w:rsid w:val="00401FCA"/>
    <w:rsid w:val="004021EE"/>
    <w:rsid w:val="004026A8"/>
    <w:rsid w:val="00402869"/>
    <w:rsid w:val="00402980"/>
    <w:rsid w:val="00403188"/>
    <w:rsid w:val="00403575"/>
    <w:rsid w:val="00403970"/>
    <w:rsid w:val="004047E3"/>
    <w:rsid w:val="004051C2"/>
    <w:rsid w:val="004062BB"/>
    <w:rsid w:val="00406905"/>
    <w:rsid w:val="004075FF"/>
    <w:rsid w:val="0041004B"/>
    <w:rsid w:val="004118D1"/>
    <w:rsid w:val="00411B16"/>
    <w:rsid w:val="00411EDC"/>
    <w:rsid w:val="0041241D"/>
    <w:rsid w:val="004124FE"/>
    <w:rsid w:val="0041280A"/>
    <w:rsid w:val="00412EF4"/>
    <w:rsid w:val="00413974"/>
    <w:rsid w:val="00414EA5"/>
    <w:rsid w:val="00415ED7"/>
    <w:rsid w:val="0041790F"/>
    <w:rsid w:val="00420445"/>
    <w:rsid w:val="00421ACC"/>
    <w:rsid w:val="0042213A"/>
    <w:rsid w:val="00424ABE"/>
    <w:rsid w:val="00425E78"/>
    <w:rsid w:val="00426F39"/>
    <w:rsid w:val="00432806"/>
    <w:rsid w:val="004338AF"/>
    <w:rsid w:val="00433BB2"/>
    <w:rsid w:val="00433EFC"/>
    <w:rsid w:val="00433F23"/>
    <w:rsid w:val="004350D0"/>
    <w:rsid w:val="00435416"/>
    <w:rsid w:val="004354CC"/>
    <w:rsid w:val="00435882"/>
    <w:rsid w:val="00436797"/>
    <w:rsid w:val="00436DBE"/>
    <w:rsid w:val="00437DAE"/>
    <w:rsid w:val="00437DF9"/>
    <w:rsid w:val="00440657"/>
    <w:rsid w:val="00441911"/>
    <w:rsid w:val="00442325"/>
    <w:rsid w:val="00442933"/>
    <w:rsid w:val="004436CA"/>
    <w:rsid w:val="00444E74"/>
    <w:rsid w:val="00450210"/>
    <w:rsid w:val="004512FC"/>
    <w:rsid w:val="00451479"/>
    <w:rsid w:val="00451BC5"/>
    <w:rsid w:val="00451C05"/>
    <w:rsid w:val="00455D7B"/>
    <w:rsid w:val="00456D60"/>
    <w:rsid w:val="004609C3"/>
    <w:rsid w:val="00460A4C"/>
    <w:rsid w:val="00460C31"/>
    <w:rsid w:val="004621F5"/>
    <w:rsid w:val="00462C69"/>
    <w:rsid w:val="004645B2"/>
    <w:rsid w:val="004706AA"/>
    <w:rsid w:val="00470FA1"/>
    <w:rsid w:val="004714DA"/>
    <w:rsid w:val="0047265B"/>
    <w:rsid w:val="00474407"/>
    <w:rsid w:val="00477EED"/>
    <w:rsid w:val="00480C39"/>
    <w:rsid w:val="004814FD"/>
    <w:rsid w:val="00481697"/>
    <w:rsid w:val="00481743"/>
    <w:rsid w:val="00482356"/>
    <w:rsid w:val="00482515"/>
    <w:rsid w:val="00482E4F"/>
    <w:rsid w:val="004830CA"/>
    <w:rsid w:val="0048373F"/>
    <w:rsid w:val="00483A56"/>
    <w:rsid w:val="00484316"/>
    <w:rsid w:val="0048470E"/>
    <w:rsid w:val="00484A6E"/>
    <w:rsid w:val="0048558A"/>
    <w:rsid w:val="0048585E"/>
    <w:rsid w:val="00485C27"/>
    <w:rsid w:val="004914CE"/>
    <w:rsid w:val="0049151C"/>
    <w:rsid w:val="004940EC"/>
    <w:rsid w:val="00494798"/>
    <w:rsid w:val="0049766E"/>
    <w:rsid w:val="00497856"/>
    <w:rsid w:val="004A11C5"/>
    <w:rsid w:val="004A18A7"/>
    <w:rsid w:val="004A1ACF"/>
    <w:rsid w:val="004A24E5"/>
    <w:rsid w:val="004A2FA3"/>
    <w:rsid w:val="004A4C17"/>
    <w:rsid w:val="004A60B7"/>
    <w:rsid w:val="004A6923"/>
    <w:rsid w:val="004A6CA0"/>
    <w:rsid w:val="004B1F01"/>
    <w:rsid w:val="004B2C6E"/>
    <w:rsid w:val="004B2CB0"/>
    <w:rsid w:val="004B3D97"/>
    <w:rsid w:val="004B4CE9"/>
    <w:rsid w:val="004B58EB"/>
    <w:rsid w:val="004B679B"/>
    <w:rsid w:val="004C01B4"/>
    <w:rsid w:val="004C09FE"/>
    <w:rsid w:val="004C0E44"/>
    <w:rsid w:val="004C17B4"/>
    <w:rsid w:val="004C1DBD"/>
    <w:rsid w:val="004C1FCC"/>
    <w:rsid w:val="004C332A"/>
    <w:rsid w:val="004C493F"/>
    <w:rsid w:val="004C5414"/>
    <w:rsid w:val="004C61CC"/>
    <w:rsid w:val="004C750D"/>
    <w:rsid w:val="004D139C"/>
    <w:rsid w:val="004D350F"/>
    <w:rsid w:val="004D46EB"/>
    <w:rsid w:val="004D4964"/>
    <w:rsid w:val="004D49D2"/>
    <w:rsid w:val="004D5455"/>
    <w:rsid w:val="004D5E86"/>
    <w:rsid w:val="004D620B"/>
    <w:rsid w:val="004D6D0C"/>
    <w:rsid w:val="004E0417"/>
    <w:rsid w:val="004E041B"/>
    <w:rsid w:val="004E0BF7"/>
    <w:rsid w:val="004E0F51"/>
    <w:rsid w:val="004E12F3"/>
    <w:rsid w:val="004E197B"/>
    <w:rsid w:val="004E27F8"/>
    <w:rsid w:val="004E35A8"/>
    <w:rsid w:val="004E50C9"/>
    <w:rsid w:val="004E6498"/>
    <w:rsid w:val="004E71C3"/>
    <w:rsid w:val="004E73A2"/>
    <w:rsid w:val="004F0089"/>
    <w:rsid w:val="004F00E1"/>
    <w:rsid w:val="004F08D5"/>
    <w:rsid w:val="004F10BA"/>
    <w:rsid w:val="004F16AA"/>
    <w:rsid w:val="004F2C04"/>
    <w:rsid w:val="004F2E54"/>
    <w:rsid w:val="004F3A27"/>
    <w:rsid w:val="004F4406"/>
    <w:rsid w:val="004F4D05"/>
    <w:rsid w:val="004F4F99"/>
    <w:rsid w:val="00502F99"/>
    <w:rsid w:val="00504767"/>
    <w:rsid w:val="00505FCA"/>
    <w:rsid w:val="00511365"/>
    <w:rsid w:val="00511397"/>
    <w:rsid w:val="00511873"/>
    <w:rsid w:val="005127E0"/>
    <w:rsid w:val="00513B57"/>
    <w:rsid w:val="00513D40"/>
    <w:rsid w:val="0051441E"/>
    <w:rsid w:val="005146A2"/>
    <w:rsid w:val="005150B8"/>
    <w:rsid w:val="005164F5"/>
    <w:rsid w:val="00516A9A"/>
    <w:rsid w:val="00516B04"/>
    <w:rsid w:val="00520996"/>
    <w:rsid w:val="005219CB"/>
    <w:rsid w:val="00521BB5"/>
    <w:rsid w:val="00521DDF"/>
    <w:rsid w:val="00522FD7"/>
    <w:rsid w:val="005242B7"/>
    <w:rsid w:val="00527F5B"/>
    <w:rsid w:val="00530E74"/>
    <w:rsid w:val="005312F9"/>
    <w:rsid w:val="0053212E"/>
    <w:rsid w:val="00536239"/>
    <w:rsid w:val="0054186C"/>
    <w:rsid w:val="00542105"/>
    <w:rsid w:val="00542541"/>
    <w:rsid w:val="00542583"/>
    <w:rsid w:val="00542A08"/>
    <w:rsid w:val="005439C9"/>
    <w:rsid w:val="00544395"/>
    <w:rsid w:val="00544537"/>
    <w:rsid w:val="00544E8D"/>
    <w:rsid w:val="005452E8"/>
    <w:rsid w:val="00545B7C"/>
    <w:rsid w:val="00550DC9"/>
    <w:rsid w:val="00550E07"/>
    <w:rsid w:val="00551336"/>
    <w:rsid w:val="005529CD"/>
    <w:rsid w:val="00553404"/>
    <w:rsid w:val="00554C4F"/>
    <w:rsid w:val="00554D67"/>
    <w:rsid w:val="0055668F"/>
    <w:rsid w:val="00556F7D"/>
    <w:rsid w:val="00557CA0"/>
    <w:rsid w:val="00557E2A"/>
    <w:rsid w:val="005603BC"/>
    <w:rsid w:val="005605B6"/>
    <w:rsid w:val="005611BD"/>
    <w:rsid w:val="005633DD"/>
    <w:rsid w:val="00564A98"/>
    <w:rsid w:val="00566AFF"/>
    <w:rsid w:val="00567189"/>
    <w:rsid w:val="005702E1"/>
    <w:rsid w:val="00570B2E"/>
    <w:rsid w:val="00571304"/>
    <w:rsid w:val="00571ABE"/>
    <w:rsid w:val="005723E4"/>
    <w:rsid w:val="00573338"/>
    <w:rsid w:val="00574351"/>
    <w:rsid w:val="00574487"/>
    <w:rsid w:val="00574E70"/>
    <w:rsid w:val="00576A71"/>
    <w:rsid w:val="0057786D"/>
    <w:rsid w:val="0058101A"/>
    <w:rsid w:val="00581031"/>
    <w:rsid w:val="00581398"/>
    <w:rsid w:val="00581AD6"/>
    <w:rsid w:val="005858A3"/>
    <w:rsid w:val="005862C2"/>
    <w:rsid w:val="0058655B"/>
    <w:rsid w:val="00586AE7"/>
    <w:rsid w:val="00587BB1"/>
    <w:rsid w:val="00587F16"/>
    <w:rsid w:val="00590E56"/>
    <w:rsid w:val="005918F7"/>
    <w:rsid w:val="005919BA"/>
    <w:rsid w:val="005922C2"/>
    <w:rsid w:val="0059344F"/>
    <w:rsid w:val="005940C2"/>
    <w:rsid w:val="005943CF"/>
    <w:rsid w:val="00594E1E"/>
    <w:rsid w:val="00594EE7"/>
    <w:rsid w:val="00595E3B"/>
    <w:rsid w:val="0059663C"/>
    <w:rsid w:val="00596A26"/>
    <w:rsid w:val="0059728A"/>
    <w:rsid w:val="005976C6"/>
    <w:rsid w:val="005A04FD"/>
    <w:rsid w:val="005A0867"/>
    <w:rsid w:val="005A2557"/>
    <w:rsid w:val="005A4BDA"/>
    <w:rsid w:val="005A5AE9"/>
    <w:rsid w:val="005A7F50"/>
    <w:rsid w:val="005B11D5"/>
    <w:rsid w:val="005B2F24"/>
    <w:rsid w:val="005B309C"/>
    <w:rsid w:val="005B3FD1"/>
    <w:rsid w:val="005B6E46"/>
    <w:rsid w:val="005B7ABC"/>
    <w:rsid w:val="005B7C1E"/>
    <w:rsid w:val="005B7C45"/>
    <w:rsid w:val="005C1362"/>
    <w:rsid w:val="005C1444"/>
    <w:rsid w:val="005C1B56"/>
    <w:rsid w:val="005C25EB"/>
    <w:rsid w:val="005C287C"/>
    <w:rsid w:val="005C2924"/>
    <w:rsid w:val="005C2AA6"/>
    <w:rsid w:val="005C3043"/>
    <w:rsid w:val="005C47E1"/>
    <w:rsid w:val="005C6B21"/>
    <w:rsid w:val="005C6FE5"/>
    <w:rsid w:val="005D06FF"/>
    <w:rsid w:val="005D1A16"/>
    <w:rsid w:val="005D2AE4"/>
    <w:rsid w:val="005D2DB9"/>
    <w:rsid w:val="005D33EF"/>
    <w:rsid w:val="005D4360"/>
    <w:rsid w:val="005E129A"/>
    <w:rsid w:val="005E1734"/>
    <w:rsid w:val="005E19F0"/>
    <w:rsid w:val="005E4696"/>
    <w:rsid w:val="005E53FE"/>
    <w:rsid w:val="005E7C97"/>
    <w:rsid w:val="005E7D5F"/>
    <w:rsid w:val="005F04D1"/>
    <w:rsid w:val="005F09E5"/>
    <w:rsid w:val="005F1F28"/>
    <w:rsid w:val="005F4B26"/>
    <w:rsid w:val="005F5798"/>
    <w:rsid w:val="005F58CA"/>
    <w:rsid w:val="005F5D68"/>
    <w:rsid w:val="005F5FDF"/>
    <w:rsid w:val="006010DD"/>
    <w:rsid w:val="00601145"/>
    <w:rsid w:val="00601910"/>
    <w:rsid w:val="00601917"/>
    <w:rsid w:val="00601EF8"/>
    <w:rsid w:val="00602E03"/>
    <w:rsid w:val="00603139"/>
    <w:rsid w:val="00603FC4"/>
    <w:rsid w:val="00604744"/>
    <w:rsid w:val="00605E13"/>
    <w:rsid w:val="00606376"/>
    <w:rsid w:val="0060637A"/>
    <w:rsid w:val="0061032F"/>
    <w:rsid w:val="00611089"/>
    <w:rsid w:val="00612CFC"/>
    <w:rsid w:val="006135A9"/>
    <w:rsid w:val="006171CA"/>
    <w:rsid w:val="00620B00"/>
    <w:rsid w:val="0062157B"/>
    <w:rsid w:val="00623FD4"/>
    <w:rsid w:val="00624737"/>
    <w:rsid w:val="00625C1D"/>
    <w:rsid w:val="006265EE"/>
    <w:rsid w:val="00626BD9"/>
    <w:rsid w:val="006272CE"/>
    <w:rsid w:val="006272F1"/>
    <w:rsid w:val="00630268"/>
    <w:rsid w:val="00630600"/>
    <w:rsid w:val="00630915"/>
    <w:rsid w:val="00630953"/>
    <w:rsid w:val="00631302"/>
    <w:rsid w:val="00631F15"/>
    <w:rsid w:val="00632416"/>
    <w:rsid w:val="006329DB"/>
    <w:rsid w:val="00633E68"/>
    <w:rsid w:val="0063479E"/>
    <w:rsid w:val="006364F8"/>
    <w:rsid w:val="0063678C"/>
    <w:rsid w:val="0063699C"/>
    <w:rsid w:val="006401C0"/>
    <w:rsid w:val="006412FC"/>
    <w:rsid w:val="00641555"/>
    <w:rsid w:val="006415D3"/>
    <w:rsid w:val="00642263"/>
    <w:rsid w:val="006424BB"/>
    <w:rsid w:val="006438B6"/>
    <w:rsid w:val="00647974"/>
    <w:rsid w:val="006509C0"/>
    <w:rsid w:val="00651075"/>
    <w:rsid w:val="006523C4"/>
    <w:rsid w:val="00654527"/>
    <w:rsid w:val="00654FC5"/>
    <w:rsid w:val="00655299"/>
    <w:rsid w:val="0065755A"/>
    <w:rsid w:val="00660008"/>
    <w:rsid w:val="00661D12"/>
    <w:rsid w:val="006624DD"/>
    <w:rsid w:val="006629E4"/>
    <w:rsid w:val="00663459"/>
    <w:rsid w:val="006634A5"/>
    <w:rsid w:val="00665500"/>
    <w:rsid w:val="00665F8C"/>
    <w:rsid w:val="00667EE6"/>
    <w:rsid w:val="00670114"/>
    <w:rsid w:val="00670713"/>
    <w:rsid w:val="0067272F"/>
    <w:rsid w:val="00672C7D"/>
    <w:rsid w:val="0067423A"/>
    <w:rsid w:val="0067580F"/>
    <w:rsid w:val="00680B72"/>
    <w:rsid w:val="0068245B"/>
    <w:rsid w:val="00682860"/>
    <w:rsid w:val="00682A3E"/>
    <w:rsid w:val="00682DF4"/>
    <w:rsid w:val="00690410"/>
    <w:rsid w:val="006907B7"/>
    <w:rsid w:val="00691E1A"/>
    <w:rsid w:val="006929D5"/>
    <w:rsid w:val="006935A3"/>
    <w:rsid w:val="00693A08"/>
    <w:rsid w:val="00694A92"/>
    <w:rsid w:val="00696A63"/>
    <w:rsid w:val="00697806"/>
    <w:rsid w:val="006978D3"/>
    <w:rsid w:val="006A0EEA"/>
    <w:rsid w:val="006A2B10"/>
    <w:rsid w:val="006A2D6A"/>
    <w:rsid w:val="006A42CE"/>
    <w:rsid w:val="006A5978"/>
    <w:rsid w:val="006A6A2A"/>
    <w:rsid w:val="006A7AA1"/>
    <w:rsid w:val="006B0597"/>
    <w:rsid w:val="006B0D25"/>
    <w:rsid w:val="006B1FA5"/>
    <w:rsid w:val="006B255C"/>
    <w:rsid w:val="006B2963"/>
    <w:rsid w:val="006B2E9E"/>
    <w:rsid w:val="006B4AF8"/>
    <w:rsid w:val="006B54B9"/>
    <w:rsid w:val="006B62F0"/>
    <w:rsid w:val="006B7C1D"/>
    <w:rsid w:val="006C03F5"/>
    <w:rsid w:val="006C0EA9"/>
    <w:rsid w:val="006C137A"/>
    <w:rsid w:val="006C14BF"/>
    <w:rsid w:val="006C3726"/>
    <w:rsid w:val="006C438F"/>
    <w:rsid w:val="006C43AC"/>
    <w:rsid w:val="006C68C3"/>
    <w:rsid w:val="006C728B"/>
    <w:rsid w:val="006C7302"/>
    <w:rsid w:val="006C774A"/>
    <w:rsid w:val="006C7DBD"/>
    <w:rsid w:val="006D0036"/>
    <w:rsid w:val="006D29BA"/>
    <w:rsid w:val="006D58A6"/>
    <w:rsid w:val="006D59F0"/>
    <w:rsid w:val="006D684C"/>
    <w:rsid w:val="006D6B66"/>
    <w:rsid w:val="006D6EAD"/>
    <w:rsid w:val="006D7135"/>
    <w:rsid w:val="006D7879"/>
    <w:rsid w:val="006E2E3F"/>
    <w:rsid w:val="006E2F39"/>
    <w:rsid w:val="006E3C41"/>
    <w:rsid w:val="006E421E"/>
    <w:rsid w:val="006E6341"/>
    <w:rsid w:val="006F1CF4"/>
    <w:rsid w:val="006F2434"/>
    <w:rsid w:val="006F3415"/>
    <w:rsid w:val="006F55DD"/>
    <w:rsid w:val="006F5BE0"/>
    <w:rsid w:val="006F6679"/>
    <w:rsid w:val="006F7860"/>
    <w:rsid w:val="006F7EA6"/>
    <w:rsid w:val="00700911"/>
    <w:rsid w:val="00702873"/>
    <w:rsid w:val="00702E4C"/>
    <w:rsid w:val="00703860"/>
    <w:rsid w:val="00704050"/>
    <w:rsid w:val="0070492C"/>
    <w:rsid w:val="00705627"/>
    <w:rsid w:val="0070792A"/>
    <w:rsid w:val="00710422"/>
    <w:rsid w:val="007105CD"/>
    <w:rsid w:val="007124D6"/>
    <w:rsid w:val="007127AA"/>
    <w:rsid w:val="00714AFB"/>
    <w:rsid w:val="0071521D"/>
    <w:rsid w:val="00715B51"/>
    <w:rsid w:val="0071665E"/>
    <w:rsid w:val="007177AA"/>
    <w:rsid w:val="00717C87"/>
    <w:rsid w:val="007219BD"/>
    <w:rsid w:val="00722578"/>
    <w:rsid w:val="007239B5"/>
    <w:rsid w:val="00723AA6"/>
    <w:rsid w:val="007241E6"/>
    <w:rsid w:val="00725187"/>
    <w:rsid w:val="00725B68"/>
    <w:rsid w:val="00725BA9"/>
    <w:rsid w:val="0072624C"/>
    <w:rsid w:val="00727E8C"/>
    <w:rsid w:val="00730F34"/>
    <w:rsid w:val="007313A8"/>
    <w:rsid w:val="00732156"/>
    <w:rsid w:val="0073334D"/>
    <w:rsid w:val="00735246"/>
    <w:rsid w:val="00736857"/>
    <w:rsid w:val="00736C88"/>
    <w:rsid w:val="00737145"/>
    <w:rsid w:val="00737D53"/>
    <w:rsid w:val="00737DEE"/>
    <w:rsid w:val="007415FC"/>
    <w:rsid w:val="00741AE5"/>
    <w:rsid w:val="00741C9A"/>
    <w:rsid w:val="00742482"/>
    <w:rsid w:val="00742A7B"/>
    <w:rsid w:val="00745005"/>
    <w:rsid w:val="00745309"/>
    <w:rsid w:val="00745E04"/>
    <w:rsid w:val="00747FC9"/>
    <w:rsid w:val="00750309"/>
    <w:rsid w:val="00750614"/>
    <w:rsid w:val="00750883"/>
    <w:rsid w:val="0075182B"/>
    <w:rsid w:val="00752173"/>
    <w:rsid w:val="0075238E"/>
    <w:rsid w:val="007525C5"/>
    <w:rsid w:val="00752F28"/>
    <w:rsid w:val="00752FEF"/>
    <w:rsid w:val="00753962"/>
    <w:rsid w:val="00753A3D"/>
    <w:rsid w:val="0075427E"/>
    <w:rsid w:val="00756BDA"/>
    <w:rsid w:val="00757025"/>
    <w:rsid w:val="007570A4"/>
    <w:rsid w:val="00757E8E"/>
    <w:rsid w:val="007618D8"/>
    <w:rsid w:val="00762815"/>
    <w:rsid w:val="0076549A"/>
    <w:rsid w:val="007665EC"/>
    <w:rsid w:val="00766982"/>
    <w:rsid w:val="00766DA5"/>
    <w:rsid w:val="007676FE"/>
    <w:rsid w:val="00767AF1"/>
    <w:rsid w:val="00767DA2"/>
    <w:rsid w:val="0077009A"/>
    <w:rsid w:val="007706DB"/>
    <w:rsid w:val="00772130"/>
    <w:rsid w:val="007728F5"/>
    <w:rsid w:val="00772AE2"/>
    <w:rsid w:val="00772F97"/>
    <w:rsid w:val="007731A7"/>
    <w:rsid w:val="00773404"/>
    <w:rsid w:val="00774A03"/>
    <w:rsid w:val="00781790"/>
    <w:rsid w:val="007828CB"/>
    <w:rsid w:val="00782C13"/>
    <w:rsid w:val="00784603"/>
    <w:rsid w:val="00784EDF"/>
    <w:rsid w:val="00785E81"/>
    <w:rsid w:val="00786B8E"/>
    <w:rsid w:val="007874AF"/>
    <w:rsid w:val="0078788F"/>
    <w:rsid w:val="00787AFA"/>
    <w:rsid w:val="0079033D"/>
    <w:rsid w:val="00790419"/>
    <w:rsid w:val="007905D2"/>
    <w:rsid w:val="007922DE"/>
    <w:rsid w:val="00793614"/>
    <w:rsid w:val="00793BE3"/>
    <w:rsid w:val="00793E54"/>
    <w:rsid w:val="007941FB"/>
    <w:rsid w:val="0079481B"/>
    <w:rsid w:val="0079504B"/>
    <w:rsid w:val="00795D61"/>
    <w:rsid w:val="00795F51"/>
    <w:rsid w:val="0079688B"/>
    <w:rsid w:val="00797954"/>
    <w:rsid w:val="007A2BF8"/>
    <w:rsid w:val="007A3C7D"/>
    <w:rsid w:val="007A44AD"/>
    <w:rsid w:val="007A47B1"/>
    <w:rsid w:val="007A4817"/>
    <w:rsid w:val="007A5849"/>
    <w:rsid w:val="007A609A"/>
    <w:rsid w:val="007A6ACE"/>
    <w:rsid w:val="007A6D6A"/>
    <w:rsid w:val="007B0D45"/>
    <w:rsid w:val="007B1846"/>
    <w:rsid w:val="007B1C89"/>
    <w:rsid w:val="007B2ED5"/>
    <w:rsid w:val="007B3052"/>
    <w:rsid w:val="007B45C7"/>
    <w:rsid w:val="007B5748"/>
    <w:rsid w:val="007B5981"/>
    <w:rsid w:val="007B6873"/>
    <w:rsid w:val="007B75D8"/>
    <w:rsid w:val="007C05B7"/>
    <w:rsid w:val="007C0724"/>
    <w:rsid w:val="007C266C"/>
    <w:rsid w:val="007C3C0A"/>
    <w:rsid w:val="007C3C64"/>
    <w:rsid w:val="007C51F3"/>
    <w:rsid w:val="007C698B"/>
    <w:rsid w:val="007C720A"/>
    <w:rsid w:val="007C7D87"/>
    <w:rsid w:val="007D083F"/>
    <w:rsid w:val="007D0EB2"/>
    <w:rsid w:val="007D0EE5"/>
    <w:rsid w:val="007D10F8"/>
    <w:rsid w:val="007D221E"/>
    <w:rsid w:val="007D237E"/>
    <w:rsid w:val="007D2DDE"/>
    <w:rsid w:val="007D34DC"/>
    <w:rsid w:val="007D4BE7"/>
    <w:rsid w:val="007D4CD2"/>
    <w:rsid w:val="007D507E"/>
    <w:rsid w:val="007D51AE"/>
    <w:rsid w:val="007D5E2F"/>
    <w:rsid w:val="007D6612"/>
    <w:rsid w:val="007E0640"/>
    <w:rsid w:val="007E1190"/>
    <w:rsid w:val="007E28BE"/>
    <w:rsid w:val="007E4D1D"/>
    <w:rsid w:val="007E532C"/>
    <w:rsid w:val="007E631E"/>
    <w:rsid w:val="007E63D0"/>
    <w:rsid w:val="007E6558"/>
    <w:rsid w:val="007E757D"/>
    <w:rsid w:val="007F1065"/>
    <w:rsid w:val="007F2530"/>
    <w:rsid w:val="007F26A9"/>
    <w:rsid w:val="007F329A"/>
    <w:rsid w:val="007F3E92"/>
    <w:rsid w:val="007F411A"/>
    <w:rsid w:val="007F4B3F"/>
    <w:rsid w:val="007F4CAD"/>
    <w:rsid w:val="007F4CF4"/>
    <w:rsid w:val="007F5B63"/>
    <w:rsid w:val="007F65A1"/>
    <w:rsid w:val="007F67F5"/>
    <w:rsid w:val="007F75FF"/>
    <w:rsid w:val="007F7F08"/>
    <w:rsid w:val="00800347"/>
    <w:rsid w:val="00801073"/>
    <w:rsid w:val="00801B2E"/>
    <w:rsid w:val="0080213F"/>
    <w:rsid w:val="00802B0F"/>
    <w:rsid w:val="00804165"/>
    <w:rsid w:val="00805A4D"/>
    <w:rsid w:val="00805BBF"/>
    <w:rsid w:val="00805C26"/>
    <w:rsid w:val="00806899"/>
    <w:rsid w:val="00806D0B"/>
    <w:rsid w:val="008075A9"/>
    <w:rsid w:val="00810F8D"/>
    <w:rsid w:val="00810F94"/>
    <w:rsid w:val="00811526"/>
    <w:rsid w:val="00814404"/>
    <w:rsid w:val="00816237"/>
    <w:rsid w:val="00817446"/>
    <w:rsid w:val="008176DB"/>
    <w:rsid w:val="00817DB9"/>
    <w:rsid w:val="00820FE5"/>
    <w:rsid w:val="008235D8"/>
    <w:rsid w:val="00823CE7"/>
    <w:rsid w:val="00823DF5"/>
    <w:rsid w:val="008242C6"/>
    <w:rsid w:val="00824D63"/>
    <w:rsid w:val="00827466"/>
    <w:rsid w:val="00827CBB"/>
    <w:rsid w:val="00831920"/>
    <w:rsid w:val="0083649F"/>
    <w:rsid w:val="00836814"/>
    <w:rsid w:val="0083698A"/>
    <w:rsid w:val="00840695"/>
    <w:rsid w:val="00843737"/>
    <w:rsid w:val="00845EC8"/>
    <w:rsid w:val="0084626E"/>
    <w:rsid w:val="008474B7"/>
    <w:rsid w:val="00850BE3"/>
    <w:rsid w:val="0085149B"/>
    <w:rsid w:val="00851554"/>
    <w:rsid w:val="00854CFD"/>
    <w:rsid w:val="0085508D"/>
    <w:rsid w:val="00855231"/>
    <w:rsid w:val="008553A4"/>
    <w:rsid w:val="008577E6"/>
    <w:rsid w:val="00860598"/>
    <w:rsid w:val="00861631"/>
    <w:rsid w:val="00861B27"/>
    <w:rsid w:val="00861CF0"/>
    <w:rsid w:val="008635BC"/>
    <w:rsid w:val="0086404F"/>
    <w:rsid w:val="0086436B"/>
    <w:rsid w:val="008643DF"/>
    <w:rsid w:val="00865618"/>
    <w:rsid w:val="0086624C"/>
    <w:rsid w:val="00866FB6"/>
    <w:rsid w:val="00870E8B"/>
    <w:rsid w:val="008714E2"/>
    <w:rsid w:val="008740F4"/>
    <w:rsid w:val="00874283"/>
    <w:rsid w:val="008748D2"/>
    <w:rsid w:val="0087498E"/>
    <w:rsid w:val="00874C11"/>
    <w:rsid w:val="00876745"/>
    <w:rsid w:val="00876A27"/>
    <w:rsid w:val="00877140"/>
    <w:rsid w:val="00877A07"/>
    <w:rsid w:val="008808C9"/>
    <w:rsid w:val="00882A2B"/>
    <w:rsid w:val="00883218"/>
    <w:rsid w:val="0088355A"/>
    <w:rsid w:val="008837E8"/>
    <w:rsid w:val="00883B95"/>
    <w:rsid w:val="008848AC"/>
    <w:rsid w:val="00884C71"/>
    <w:rsid w:val="00885159"/>
    <w:rsid w:val="00886744"/>
    <w:rsid w:val="00886B63"/>
    <w:rsid w:val="00890A34"/>
    <w:rsid w:val="00890BC4"/>
    <w:rsid w:val="00890E70"/>
    <w:rsid w:val="00891C81"/>
    <w:rsid w:val="0089229B"/>
    <w:rsid w:val="008927D8"/>
    <w:rsid w:val="00893CEE"/>
    <w:rsid w:val="00894A46"/>
    <w:rsid w:val="008A0E24"/>
    <w:rsid w:val="008A0F70"/>
    <w:rsid w:val="008A1B54"/>
    <w:rsid w:val="008A2F3C"/>
    <w:rsid w:val="008A3D8E"/>
    <w:rsid w:val="008A4B76"/>
    <w:rsid w:val="008A56B2"/>
    <w:rsid w:val="008A5A94"/>
    <w:rsid w:val="008A619A"/>
    <w:rsid w:val="008A6239"/>
    <w:rsid w:val="008B0488"/>
    <w:rsid w:val="008B2C52"/>
    <w:rsid w:val="008B33C1"/>
    <w:rsid w:val="008B354B"/>
    <w:rsid w:val="008B3677"/>
    <w:rsid w:val="008B3DD4"/>
    <w:rsid w:val="008B4E81"/>
    <w:rsid w:val="008C0CA0"/>
    <w:rsid w:val="008C1A97"/>
    <w:rsid w:val="008C1C30"/>
    <w:rsid w:val="008C36B6"/>
    <w:rsid w:val="008C3932"/>
    <w:rsid w:val="008C4335"/>
    <w:rsid w:val="008C443A"/>
    <w:rsid w:val="008C6278"/>
    <w:rsid w:val="008D176F"/>
    <w:rsid w:val="008D30C6"/>
    <w:rsid w:val="008D57EE"/>
    <w:rsid w:val="008D596B"/>
    <w:rsid w:val="008D6271"/>
    <w:rsid w:val="008E023C"/>
    <w:rsid w:val="008E05F8"/>
    <w:rsid w:val="008E2BDA"/>
    <w:rsid w:val="008E3314"/>
    <w:rsid w:val="008E3521"/>
    <w:rsid w:val="008E3EAE"/>
    <w:rsid w:val="008E5802"/>
    <w:rsid w:val="008E6325"/>
    <w:rsid w:val="008F2E68"/>
    <w:rsid w:val="008F311A"/>
    <w:rsid w:val="008F46BB"/>
    <w:rsid w:val="009007EB"/>
    <w:rsid w:val="00900C2F"/>
    <w:rsid w:val="00901104"/>
    <w:rsid w:val="00902467"/>
    <w:rsid w:val="0090283B"/>
    <w:rsid w:val="00902A7C"/>
    <w:rsid w:val="00902BBE"/>
    <w:rsid w:val="00902D16"/>
    <w:rsid w:val="009037FB"/>
    <w:rsid w:val="00903C50"/>
    <w:rsid w:val="00903F32"/>
    <w:rsid w:val="009065A3"/>
    <w:rsid w:val="0090683B"/>
    <w:rsid w:val="00907567"/>
    <w:rsid w:val="009077EA"/>
    <w:rsid w:val="00910EDA"/>
    <w:rsid w:val="0091162C"/>
    <w:rsid w:val="00911E67"/>
    <w:rsid w:val="00913253"/>
    <w:rsid w:val="009134A3"/>
    <w:rsid w:val="009135F5"/>
    <w:rsid w:val="00913DE9"/>
    <w:rsid w:val="00915ACB"/>
    <w:rsid w:val="00916281"/>
    <w:rsid w:val="00916366"/>
    <w:rsid w:val="009170B5"/>
    <w:rsid w:val="00917420"/>
    <w:rsid w:val="00917FEF"/>
    <w:rsid w:val="009205F6"/>
    <w:rsid w:val="00922564"/>
    <w:rsid w:val="00922C65"/>
    <w:rsid w:val="00924F11"/>
    <w:rsid w:val="00925F43"/>
    <w:rsid w:val="009270EA"/>
    <w:rsid w:val="00930262"/>
    <w:rsid w:val="009313F9"/>
    <w:rsid w:val="00931AC2"/>
    <w:rsid w:val="00931E30"/>
    <w:rsid w:val="00935012"/>
    <w:rsid w:val="009361D8"/>
    <w:rsid w:val="009365B5"/>
    <w:rsid w:val="00936DB8"/>
    <w:rsid w:val="00937414"/>
    <w:rsid w:val="00937D25"/>
    <w:rsid w:val="009424AE"/>
    <w:rsid w:val="00943BCD"/>
    <w:rsid w:val="00944AC4"/>
    <w:rsid w:val="00945D83"/>
    <w:rsid w:val="00946312"/>
    <w:rsid w:val="0094657F"/>
    <w:rsid w:val="00946BC7"/>
    <w:rsid w:val="0094782B"/>
    <w:rsid w:val="00947FDB"/>
    <w:rsid w:val="009526BF"/>
    <w:rsid w:val="00952CB3"/>
    <w:rsid w:val="00953C1C"/>
    <w:rsid w:val="00953E39"/>
    <w:rsid w:val="009552D5"/>
    <w:rsid w:val="00956152"/>
    <w:rsid w:val="009561E1"/>
    <w:rsid w:val="0095653D"/>
    <w:rsid w:val="009605B3"/>
    <w:rsid w:val="009605DA"/>
    <w:rsid w:val="00960AD3"/>
    <w:rsid w:val="00961501"/>
    <w:rsid w:val="009617E3"/>
    <w:rsid w:val="00962269"/>
    <w:rsid w:val="00962D72"/>
    <w:rsid w:val="0096355A"/>
    <w:rsid w:val="00963687"/>
    <w:rsid w:val="009642DC"/>
    <w:rsid w:val="0096447D"/>
    <w:rsid w:val="009649EF"/>
    <w:rsid w:val="00965C03"/>
    <w:rsid w:val="009668F1"/>
    <w:rsid w:val="00967987"/>
    <w:rsid w:val="00970107"/>
    <w:rsid w:val="00970566"/>
    <w:rsid w:val="00970B34"/>
    <w:rsid w:val="0097231B"/>
    <w:rsid w:val="00972F29"/>
    <w:rsid w:val="00975308"/>
    <w:rsid w:val="00976429"/>
    <w:rsid w:val="00976564"/>
    <w:rsid w:val="009771A3"/>
    <w:rsid w:val="00977695"/>
    <w:rsid w:val="00980CBA"/>
    <w:rsid w:val="00980ED9"/>
    <w:rsid w:val="009821B0"/>
    <w:rsid w:val="0098242A"/>
    <w:rsid w:val="00982AB6"/>
    <w:rsid w:val="00982CF1"/>
    <w:rsid w:val="00983278"/>
    <w:rsid w:val="00984501"/>
    <w:rsid w:val="00985116"/>
    <w:rsid w:val="00986E22"/>
    <w:rsid w:val="00987AAD"/>
    <w:rsid w:val="00987ADD"/>
    <w:rsid w:val="00991DDE"/>
    <w:rsid w:val="009939FF"/>
    <w:rsid w:val="009954FD"/>
    <w:rsid w:val="009A09D9"/>
    <w:rsid w:val="009A2C5E"/>
    <w:rsid w:val="009A4B40"/>
    <w:rsid w:val="009A5083"/>
    <w:rsid w:val="009A5C32"/>
    <w:rsid w:val="009A6AEA"/>
    <w:rsid w:val="009B0485"/>
    <w:rsid w:val="009B19D6"/>
    <w:rsid w:val="009B43EE"/>
    <w:rsid w:val="009B4822"/>
    <w:rsid w:val="009B50A3"/>
    <w:rsid w:val="009B6E02"/>
    <w:rsid w:val="009B7D94"/>
    <w:rsid w:val="009C0B06"/>
    <w:rsid w:val="009C2E83"/>
    <w:rsid w:val="009C4126"/>
    <w:rsid w:val="009C4D36"/>
    <w:rsid w:val="009C5A66"/>
    <w:rsid w:val="009C61A9"/>
    <w:rsid w:val="009C62D6"/>
    <w:rsid w:val="009C670E"/>
    <w:rsid w:val="009C7B1C"/>
    <w:rsid w:val="009D15B7"/>
    <w:rsid w:val="009D2695"/>
    <w:rsid w:val="009D2D64"/>
    <w:rsid w:val="009D36A4"/>
    <w:rsid w:val="009D3C16"/>
    <w:rsid w:val="009D4ED8"/>
    <w:rsid w:val="009D5D40"/>
    <w:rsid w:val="009D679D"/>
    <w:rsid w:val="009D7D14"/>
    <w:rsid w:val="009E0982"/>
    <w:rsid w:val="009E1474"/>
    <w:rsid w:val="009E27DC"/>
    <w:rsid w:val="009E3086"/>
    <w:rsid w:val="009E445F"/>
    <w:rsid w:val="009E5DB4"/>
    <w:rsid w:val="009E68B5"/>
    <w:rsid w:val="009F18F8"/>
    <w:rsid w:val="009F3CB2"/>
    <w:rsid w:val="009F3F9A"/>
    <w:rsid w:val="009F47A8"/>
    <w:rsid w:val="009F5377"/>
    <w:rsid w:val="009F5A60"/>
    <w:rsid w:val="009F6269"/>
    <w:rsid w:val="009F74A0"/>
    <w:rsid w:val="009F7766"/>
    <w:rsid w:val="009F7E5C"/>
    <w:rsid w:val="00A00DE0"/>
    <w:rsid w:val="00A0137A"/>
    <w:rsid w:val="00A04A3F"/>
    <w:rsid w:val="00A05F22"/>
    <w:rsid w:val="00A06989"/>
    <w:rsid w:val="00A06AB5"/>
    <w:rsid w:val="00A07007"/>
    <w:rsid w:val="00A108F0"/>
    <w:rsid w:val="00A11C2E"/>
    <w:rsid w:val="00A12023"/>
    <w:rsid w:val="00A1225D"/>
    <w:rsid w:val="00A162A4"/>
    <w:rsid w:val="00A168ED"/>
    <w:rsid w:val="00A17072"/>
    <w:rsid w:val="00A2111A"/>
    <w:rsid w:val="00A219D7"/>
    <w:rsid w:val="00A21A71"/>
    <w:rsid w:val="00A249EF"/>
    <w:rsid w:val="00A24FCE"/>
    <w:rsid w:val="00A25E7C"/>
    <w:rsid w:val="00A30388"/>
    <w:rsid w:val="00A315B9"/>
    <w:rsid w:val="00A31841"/>
    <w:rsid w:val="00A31B68"/>
    <w:rsid w:val="00A3257A"/>
    <w:rsid w:val="00A329EE"/>
    <w:rsid w:val="00A32B29"/>
    <w:rsid w:val="00A33C7A"/>
    <w:rsid w:val="00A33E48"/>
    <w:rsid w:val="00A34AB1"/>
    <w:rsid w:val="00A36561"/>
    <w:rsid w:val="00A36892"/>
    <w:rsid w:val="00A37F75"/>
    <w:rsid w:val="00A400EF"/>
    <w:rsid w:val="00A402E0"/>
    <w:rsid w:val="00A429C4"/>
    <w:rsid w:val="00A441CE"/>
    <w:rsid w:val="00A46504"/>
    <w:rsid w:val="00A473F9"/>
    <w:rsid w:val="00A479F4"/>
    <w:rsid w:val="00A50D3D"/>
    <w:rsid w:val="00A51969"/>
    <w:rsid w:val="00A52647"/>
    <w:rsid w:val="00A53BF2"/>
    <w:rsid w:val="00A53D3F"/>
    <w:rsid w:val="00A549D0"/>
    <w:rsid w:val="00A55912"/>
    <w:rsid w:val="00A56862"/>
    <w:rsid w:val="00A57DA5"/>
    <w:rsid w:val="00A626CF"/>
    <w:rsid w:val="00A62E69"/>
    <w:rsid w:val="00A633E9"/>
    <w:rsid w:val="00A638DA"/>
    <w:rsid w:val="00A64B9E"/>
    <w:rsid w:val="00A66385"/>
    <w:rsid w:val="00A663D6"/>
    <w:rsid w:val="00A66492"/>
    <w:rsid w:val="00A667DD"/>
    <w:rsid w:val="00A66CD1"/>
    <w:rsid w:val="00A67918"/>
    <w:rsid w:val="00A67B4F"/>
    <w:rsid w:val="00A67ECB"/>
    <w:rsid w:val="00A70BE2"/>
    <w:rsid w:val="00A70EA1"/>
    <w:rsid w:val="00A71507"/>
    <w:rsid w:val="00A71CCC"/>
    <w:rsid w:val="00A7253F"/>
    <w:rsid w:val="00A73375"/>
    <w:rsid w:val="00A73713"/>
    <w:rsid w:val="00A744DB"/>
    <w:rsid w:val="00A7536D"/>
    <w:rsid w:val="00A75591"/>
    <w:rsid w:val="00A75A45"/>
    <w:rsid w:val="00A82A4A"/>
    <w:rsid w:val="00A82C54"/>
    <w:rsid w:val="00A857B3"/>
    <w:rsid w:val="00A85B30"/>
    <w:rsid w:val="00A85EB6"/>
    <w:rsid w:val="00A86589"/>
    <w:rsid w:val="00A87577"/>
    <w:rsid w:val="00A87FA8"/>
    <w:rsid w:val="00A87FF8"/>
    <w:rsid w:val="00A917D6"/>
    <w:rsid w:val="00A9303E"/>
    <w:rsid w:val="00A93237"/>
    <w:rsid w:val="00A941FB"/>
    <w:rsid w:val="00A94D6D"/>
    <w:rsid w:val="00A9512D"/>
    <w:rsid w:val="00A96381"/>
    <w:rsid w:val="00A96EEC"/>
    <w:rsid w:val="00A97714"/>
    <w:rsid w:val="00AA0D7F"/>
    <w:rsid w:val="00AA0EDB"/>
    <w:rsid w:val="00AA1ED8"/>
    <w:rsid w:val="00AA21A6"/>
    <w:rsid w:val="00AA230F"/>
    <w:rsid w:val="00AA53AE"/>
    <w:rsid w:val="00AA560B"/>
    <w:rsid w:val="00AA5A2B"/>
    <w:rsid w:val="00AA71C3"/>
    <w:rsid w:val="00AB1285"/>
    <w:rsid w:val="00AB2107"/>
    <w:rsid w:val="00AB2DA6"/>
    <w:rsid w:val="00AB36FA"/>
    <w:rsid w:val="00AB56F8"/>
    <w:rsid w:val="00AB5DE7"/>
    <w:rsid w:val="00AB6681"/>
    <w:rsid w:val="00AB798C"/>
    <w:rsid w:val="00AC0E76"/>
    <w:rsid w:val="00AC186B"/>
    <w:rsid w:val="00AC1CF4"/>
    <w:rsid w:val="00AC314A"/>
    <w:rsid w:val="00AC31BB"/>
    <w:rsid w:val="00AC365B"/>
    <w:rsid w:val="00AC379B"/>
    <w:rsid w:val="00AC4EF4"/>
    <w:rsid w:val="00AC4FFC"/>
    <w:rsid w:val="00AC6607"/>
    <w:rsid w:val="00AC6B14"/>
    <w:rsid w:val="00AC7272"/>
    <w:rsid w:val="00AC7AC3"/>
    <w:rsid w:val="00AD0D57"/>
    <w:rsid w:val="00AD1823"/>
    <w:rsid w:val="00AD2631"/>
    <w:rsid w:val="00AD2B28"/>
    <w:rsid w:val="00AD2CE0"/>
    <w:rsid w:val="00AD39FA"/>
    <w:rsid w:val="00AD3A2D"/>
    <w:rsid w:val="00AD3DBC"/>
    <w:rsid w:val="00AD4B09"/>
    <w:rsid w:val="00AD4C9F"/>
    <w:rsid w:val="00AD50FD"/>
    <w:rsid w:val="00AD5226"/>
    <w:rsid w:val="00AD5367"/>
    <w:rsid w:val="00AD5386"/>
    <w:rsid w:val="00AD62A0"/>
    <w:rsid w:val="00AE0631"/>
    <w:rsid w:val="00AE18E1"/>
    <w:rsid w:val="00AE24F0"/>
    <w:rsid w:val="00AE2763"/>
    <w:rsid w:val="00AE2E28"/>
    <w:rsid w:val="00AE3647"/>
    <w:rsid w:val="00AE37B5"/>
    <w:rsid w:val="00AE6250"/>
    <w:rsid w:val="00AE6505"/>
    <w:rsid w:val="00AE69AD"/>
    <w:rsid w:val="00AF08E9"/>
    <w:rsid w:val="00AF12CA"/>
    <w:rsid w:val="00AF130E"/>
    <w:rsid w:val="00AF1671"/>
    <w:rsid w:val="00AF2C01"/>
    <w:rsid w:val="00AF3C0B"/>
    <w:rsid w:val="00AF4099"/>
    <w:rsid w:val="00AF6EEE"/>
    <w:rsid w:val="00AF7A59"/>
    <w:rsid w:val="00B00922"/>
    <w:rsid w:val="00B02310"/>
    <w:rsid w:val="00B02EFC"/>
    <w:rsid w:val="00B05F86"/>
    <w:rsid w:val="00B1020D"/>
    <w:rsid w:val="00B10E99"/>
    <w:rsid w:val="00B1172E"/>
    <w:rsid w:val="00B12783"/>
    <w:rsid w:val="00B12943"/>
    <w:rsid w:val="00B12F1A"/>
    <w:rsid w:val="00B14CE2"/>
    <w:rsid w:val="00B14D22"/>
    <w:rsid w:val="00B14E5B"/>
    <w:rsid w:val="00B14FB2"/>
    <w:rsid w:val="00B15368"/>
    <w:rsid w:val="00B15E43"/>
    <w:rsid w:val="00B16648"/>
    <w:rsid w:val="00B16872"/>
    <w:rsid w:val="00B16E37"/>
    <w:rsid w:val="00B17863"/>
    <w:rsid w:val="00B217C2"/>
    <w:rsid w:val="00B22788"/>
    <w:rsid w:val="00B227EF"/>
    <w:rsid w:val="00B235D5"/>
    <w:rsid w:val="00B23BC6"/>
    <w:rsid w:val="00B2433B"/>
    <w:rsid w:val="00B2551D"/>
    <w:rsid w:val="00B25659"/>
    <w:rsid w:val="00B30BDB"/>
    <w:rsid w:val="00B318DC"/>
    <w:rsid w:val="00B31C93"/>
    <w:rsid w:val="00B342EC"/>
    <w:rsid w:val="00B34889"/>
    <w:rsid w:val="00B352DB"/>
    <w:rsid w:val="00B35DFD"/>
    <w:rsid w:val="00B36116"/>
    <w:rsid w:val="00B363A0"/>
    <w:rsid w:val="00B373DF"/>
    <w:rsid w:val="00B41FA9"/>
    <w:rsid w:val="00B429AF"/>
    <w:rsid w:val="00B42A79"/>
    <w:rsid w:val="00B4301E"/>
    <w:rsid w:val="00B44236"/>
    <w:rsid w:val="00B46D31"/>
    <w:rsid w:val="00B53A41"/>
    <w:rsid w:val="00B557FD"/>
    <w:rsid w:val="00B55C58"/>
    <w:rsid w:val="00B574C2"/>
    <w:rsid w:val="00B62AE4"/>
    <w:rsid w:val="00B63A4C"/>
    <w:rsid w:val="00B64F4E"/>
    <w:rsid w:val="00B660B2"/>
    <w:rsid w:val="00B66601"/>
    <w:rsid w:val="00B6723C"/>
    <w:rsid w:val="00B67722"/>
    <w:rsid w:val="00B67A22"/>
    <w:rsid w:val="00B700A1"/>
    <w:rsid w:val="00B70248"/>
    <w:rsid w:val="00B7101A"/>
    <w:rsid w:val="00B719A0"/>
    <w:rsid w:val="00B7360B"/>
    <w:rsid w:val="00B73C7A"/>
    <w:rsid w:val="00B74239"/>
    <w:rsid w:val="00B751CA"/>
    <w:rsid w:val="00B7542A"/>
    <w:rsid w:val="00B75F5A"/>
    <w:rsid w:val="00B7729E"/>
    <w:rsid w:val="00B774FF"/>
    <w:rsid w:val="00B806CD"/>
    <w:rsid w:val="00B83142"/>
    <w:rsid w:val="00B84AF1"/>
    <w:rsid w:val="00B84B9F"/>
    <w:rsid w:val="00B85001"/>
    <w:rsid w:val="00B860A0"/>
    <w:rsid w:val="00B862FF"/>
    <w:rsid w:val="00B8642F"/>
    <w:rsid w:val="00B86636"/>
    <w:rsid w:val="00B92034"/>
    <w:rsid w:val="00B93930"/>
    <w:rsid w:val="00B93C32"/>
    <w:rsid w:val="00B942C2"/>
    <w:rsid w:val="00B965DC"/>
    <w:rsid w:val="00B969E3"/>
    <w:rsid w:val="00B9736D"/>
    <w:rsid w:val="00BA0869"/>
    <w:rsid w:val="00BA0AEA"/>
    <w:rsid w:val="00BA154D"/>
    <w:rsid w:val="00BA2887"/>
    <w:rsid w:val="00BA2CAF"/>
    <w:rsid w:val="00BA3D96"/>
    <w:rsid w:val="00BA3ECC"/>
    <w:rsid w:val="00BA3F0D"/>
    <w:rsid w:val="00BA463E"/>
    <w:rsid w:val="00BA4E49"/>
    <w:rsid w:val="00BA57D1"/>
    <w:rsid w:val="00BA5968"/>
    <w:rsid w:val="00BA6625"/>
    <w:rsid w:val="00BB0A97"/>
    <w:rsid w:val="00BB1162"/>
    <w:rsid w:val="00BB17C3"/>
    <w:rsid w:val="00BB1A46"/>
    <w:rsid w:val="00BB3B27"/>
    <w:rsid w:val="00BB445F"/>
    <w:rsid w:val="00BB4FBF"/>
    <w:rsid w:val="00BB6DFF"/>
    <w:rsid w:val="00BB7E60"/>
    <w:rsid w:val="00BC10E9"/>
    <w:rsid w:val="00BC24B7"/>
    <w:rsid w:val="00BC3FEE"/>
    <w:rsid w:val="00BC50C0"/>
    <w:rsid w:val="00BC6C0F"/>
    <w:rsid w:val="00BD014F"/>
    <w:rsid w:val="00BD0B38"/>
    <w:rsid w:val="00BD0FA7"/>
    <w:rsid w:val="00BD21F2"/>
    <w:rsid w:val="00BD2495"/>
    <w:rsid w:val="00BD26E3"/>
    <w:rsid w:val="00BD4921"/>
    <w:rsid w:val="00BD50D3"/>
    <w:rsid w:val="00BD5561"/>
    <w:rsid w:val="00BD7418"/>
    <w:rsid w:val="00BD7D4F"/>
    <w:rsid w:val="00BE122C"/>
    <w:rsid w:val="00BE1845"/>
    <w:rsid w:val="00BE2D00"/>
    <w:rsid w:val="00BE2EB2"/>
    <w:rsid w:val="00BE5181"/>
    <w:rsid w:val="00BE7899"/>
    <w:rsid w:val="00BF043E"/>
    <w:rsid w:val="00BF0D92"/>
    <w:rsid w:val="00BF1156"/>
    <w:rsid w:val="00BF13AA"/>
    <w:rsid w:val="00BF1684"/>
    <w:rsid w:val="00BF2356"/>
    <w:rsid w:val="00BF33BD"/>
    <w:rsid w:val="00BF3C20"/>
    <w:rsid w:val="00BF3DD6"/>
    <w:rsid w:val="00BF467C"/>
    <w:rsid w:val="00BF4810"/>
    <w:rsid w:val="00BF4826"/>
    <w:rsid w:val="00BF5C18"/>
    <w:rsid w:val="00BF5C43"/>
    <w:rsid w:val="00BF67F5"/>
    <w:rsid w:val="00BF7713"/>
    <w:rsid w:val="00C00721"/>
    <w:rsid w:val="00C00802"/>
    <w:rsid w:val="00C00A00"/>
    <w:rsid w:val="00C00F7D"/>
    <w:rsid w:val="00C012D0"/>
    <w:rsid w:val="00C015DE"/>
    <w:rsid w:val="00C01FAE"/>
    <w:rsid w:val="00C02D30"/>
    <w:rsid w:val="00C038A7"/>
    <w:rsid w:val="00C04731"/>
    <w:rsid w:val="00C04F21"/>
    <w:rsid w:val="00C05251"/>
    <w:rsid w:val="00C0594F"/>
    <w:rsid w:val="00C062E5"/>
    <w:rsid w:val="00C06DC5"/>
    <w:rsid w:val="00C103D5"/>
    <w:rsid w:val="00C12917"/>
    <w:rsid w:val="00C14217"/>
    <w:rsid w:val="00C1475D"/>
    <w:rsid w:val="00C16FBB"/>
    <w:rsid w:val="00C21CDA"/>
    <w:rsid w:val="00C22482"/>
    <w:rsid w:val="00C2259F"/>
    <w:rsid w:val="00C23377"/>
    <w:rsid w:val="00C243AB"/>
    <w:rsid w:val="00C262FC"/>
    <w:rsid w:val="00C2665F"/>
    <w:rsid w:val="00C268C6"/>
    <w:rsid w:val="00C273B3"/>
    <w:rsid w:val="00C2773E"/>
    <w:rsid w:val="00C314D1"/>
    <w:rsid w:val="00C32029"/>
    <w:rsid w:val="00C33400"/>
    <w:rsid w:val="00C34067"/>
    <w:rsid w:val="00C345A3"/>
    <w:rsid w:val="00C34DF3"/>
    <w:rsid w:val="00C34DFF"/>
    <w:rsid w:val="00C355C0"/>
    <w:rsid w:val="00C3598C"/>
    <w:rsid w:val="00C35EA9"/>
    <w:rsid w:val="00C362D4"/>
    <w:rsid w:val="00C40C4B"/>
    <w:rsid w:val="00C42D66"/>
    <w:rsid w:val="00C453D9"/>
    <w:rsid w:val="00C457B2"/>
    <w:rsid w:val="00C45EE6"/>
    <w:rsid w:val="00C46373"/>
    <w:rsid w:val="00C46912"/>
    <w:rsid w:val="00C46D9B"/>
    <w:rsid w:val="00C46F44"/>
    <w:rsid w:val="00C5162B"/>
    <w:rsid w:val="00C568A3"/>
    <w:rsid w:val="00C57539"/>
    <w:rsid w:val="00C5759C"/>
    <w:rsid w:val="00C5770B"/>
    <w:rsid w:val="00C600F1"/>
    <w:rsid w:val="00C60C12"/>
    <w:rsid w:val="00C634FC"/>
    <w:rsid w:val="00C64536"/>
    <w:rsid w:val="00C65961"/>
    <w:rsid w:val="00C65F2C"/>
    <w:rsid w:val="00C668EB"/>
    <w:rsid w:val="00C70007"/>
    <w:rsid w:val="00C702A9"/>
    <w:rsid w:val="00C70F37"/>
    <w:rsid w:val="00C726D8"/>
    <w:rsid w:val="00C72E08"/>
    <w:rsid w:val="00C72F44"/>
    <w:rsid w:val="00C72FF1"/>
    <w:rsid w:val="00C74C25"/>
    <w:rsid w:val="00C76E5A"/>
    <w:rsid w:val="00C77596"/>
    <w:rsid w:val="00C77D17"/>
    <w:rsid w:val="00C81198"/>
    <w:rsid w:val="00C820FC"/>
    <w:rsid w:val="00C82508"/>
    <w:rsid w:val="00C83319"/>
    <w:rsid w:val="00C839D1"/>
    <w:rsid w:val="00C8457E"/>
    <w:rsid w:val="00C845EA"/>
    <w:rsid w:val="00C86D4C"/>
    <w:rsid w:val="00C870FB"/>
    <w:rsid w:val="00C87E2A"/>
    <w:rsid w:val="00C92573"/>
    <w:rsid w:val="00C9300C"/>
    <w:rsid w:val="00C9433F"/>
    <w:rsid w:val="00C9673E"/>
    <w:rsid w:val="00C971CF"/>
    <w:rsid w:val="00C97404"/>
    <w:rsid w:val="00C975F8"/>
    <w:rsid w:val="00C97B35"/>
    <w:rsid w:val="00C97B82"/>
    <w:rsid w:val="00CA01F4"/>
    <w:rsid w:val="00CA10DF"/>
    <w:rsid w:val="00CA1726"/>
    <w:rsid w:val="00CA39CB"/>
    <w:rsid w:val="00CA4543"/>
    <w:rsid w:val="00CA5556"/>
    <w:rsid w:val="00CA5F45"/>
    <w:rsid w:val="00CA62D3"/>
    <w:rsid w:val="00CA6374"/>
    <w:rsid w:val="00CA64E8"/>
    <w:rsid w:val="00CA7F8F"/>
    <w:rsid w:val="00CB0009"/>
    <w:rsid w:val="00CB04AF"/>
    <w:rsid w:val="00CB3AD6"/>
    <w:rsid w:val="00CB41B5"/>
    <w:rsid w:val="00CB70FF"/>
    <w:rsid w:val="00CC3962"/>
    <w:rsid w:val="00CC41D9"/>
    <w:rsid w:val="00CC4A1E"/>
    <w:rsid w:val="00CD04A5"/>
    <w:rsid w:val="00CD07C8"/>
    <w:rsid w:val="00CD0E3D"/>
    <w:rsid w:val="00CD0EA9"/>
    <w:rsid w:val="00CD3398"/>
    <w:rsid w:val="00CD37A7"/>
    <w:rsid w:val="00CD41B8"/>
    <w:rsid w:val="00CD4604"/>
    <w:rsid w:val="00CD5673"/>
    <w:rsid w:val="00CD5B68"/>
    <w:rsid w:val="00CE019D"/>
    <w:rsid w:val="00CE0F4B"/>
    <w:rsid w:val="00CE1743"/>
    <w:rsid w:val="00CE1786"/>
    <w:rsid w:val="00CE2971"/>
    <w:rsid w:val="00CE4AA8"/>
    <w:rsid w:val="00CE5200"/>
    <w:rsid w:val="00CE5464"/>
    <w:rsid w:val="00CE55F3"/>
    <w:rsid w:val="00CE574E"/>
    <w:rsid w:val="00CE5B80"/>
    <w:rsid w:val="00CE6997"/>
    <w:rsid w:val="00CE6B3A"/>
    <w:rsid w:val="00CE7E69"/>
    <w:rsid w:val="00CF141D"/>
    <w:rsid w:val="00CF162D"/>
    <w:rsid w:val="00CF2E02"/>
    <w:rsid w:val="00CF3BF5"/>
    <w:rsid w:val="00CF4CC2"/>
    <w:rsid w:val="00CF5198"/>
    <w:rsid w:val="00CF6510"/>
    <w:rsid w:val="00CF65B9"/>
    <w:rsid w:val="00D008F4"/>
    <w:rsid w:val="00D00EC7"/>
    <w:rsid w:val="00D035E5"/>
    <w:rsid w:val="00D04CBB"/>
    <w:rsid w:val="00D05BA9"/>
    <w:rsid w:val="00D0650D"/>
    <w:rsid w:val="00D07047"/>
    <w:rsid w:val="00D07317"/>
    <w:rsid w:val="00D07C79"/>
    <w:rsid w:val="00D10D8A"/>
    <w:rsid w:val="00D10DBB"/>
    <w:rsid w:val="00D10ED7"/>
    <w:rsid w:val="00D132AF"/>
    <w:rsid w:val="00D13931"/>
    <w:rsid w:val="00D15EFF"/>
    <w:rsid w:val="00D17B8E"/>
    <w:rsid w:val="00D20BAE"/>
    <w:rsid w:val="00D21364"/>
    <w:rsid w:val="00D21A5E"/>
    <w:rsid w:val="00D24F34"/>
    <w:rsid w:val="00D2682A"/>
    <w:rsid w:val="00D32828"/>
    <w:rsid w:val="00D32B90"/>
    <w:rsid w:val="00D34ABE"/>
    <w:rsid w:val="00D35ABE"/>
    <w:rsid w:val="00D36579"/>
    <w:rsid w:val="00D37588"/>
    <w:rsid w:val="00D40AF3"/>
    <w:rsid w:val="00D4100E"/>
    <w:rsid w:val="00D415F4"/>
    <w:rsid w:val="00D41E07"/>
    <w:rsid w:val="00D41F2A"/>
    <w:rsid w:val="00D41FC7"/>
    <w:rsid w:val="00D42E24"/>
    <w:rsid w:val="00D43B97"/>
    <w:rsid w:val="00D44641"/>
    <w:rsid w:val="00D45C40"/>
    <w:rsid w:val="00D47011"/>
    <w:rsid w:val="00D47916"/>
    <w:rsid w:val="00D47B5F"/>
    <w:rsid w:val="00D47E81"/>
    <w:rsid w:val="00D5001B"/>
    <w:rsid w:val="00D50551"/>
    <w:rsid w:val="00D50F21"/>
    <w:rsid w:val="00D5148B"/>
    <w:rsid w:val="00D51982"/>
    <w:rsid w:val="00D51BDB"/>
    <w:rsid w:val="00D51D0C"/>
    <w:rsid w:val="00D533D5"/>
    <w:rsid w:val="00D53D88"/>
    <w:rsid w:val="00D549B2"/>
    <w:rsid w:val="00D54D06"/>
    <w:rsid w:val="00D54D6B"/>
    <w:rsid w:val="00D57098"/>
    <w:rsid w:val="00D602E0"/>
    <w:rsid w:val="00D605E0"/>
    <w:rsid w:val="00D609F5"/>
    <w:rsid w:val="00D62A19"/>
    <w:rsid w:val="00D6371C"/>
    <w:rsid w:val="00D64235"/>
    <w:rsid w:val="00D650BB"/>
    <w:rsid w:val="00D657CB"/>
    <w:rsid w:val="00D66724"/>
    <w:rsid w:val="00D66A92"/>
    <w:rsid w:val="00D67856"/>
    <w:rsid w:val="00D704E2"/>
    <w:rsid w:val="00D71910"/>
    <w:rsid w:val="00D73525"/>
    <w:rsid w:val="00D769D5"/>
    <w:rsid w:val="00D804AF"/>
    <w:rsid w:val="00D80970"/>
    <w:rsid w:val="00D82005"/>
    <w:rsid w:val="00D82249"/>
    <w:rsid w:val="00D83923"/>
    <w:rsid w:val="00D85C23"/>
    <w:rsid w:val="00D86845"/>
    <w:rsid w:val="00D86E20"/>
    <w:rsid w:val="00D872CB"/>
    <w:rsid w:val="00D87CD9"/>
    <w:rsid w:val="00D87E8C"/>
    <w:rsid w:val="00D90E10"/>
    <w:rsid w:val="00D94751"/>
    <w:rsid w:val="00D951C0"/>
    <w:rsid w:val="00D956B5"/>
    <w:rsid w:val="00D968E4"/>
    <w:rsid w:val="00D96970"/>
    <w:rsid w:val="00D96C55"/>
    <w:rsid w:val="00D96DD9"/>
    <w:rsid w:val="00D97494"/>
    <w:rsid w:val="00DA096A"/>
    <w:rsid w:val="00DA0F17"/>
    <w:rsid w:val="00DA19BE"/>
    <w:rsid w:val="00DA40C1"/>
    <w:rsid w:val="00DA4DF6"/>
    <w:rsid w:val="00DA4FA3"/>
    <w:rsid w:val="00DA5541"/>
    <w:rsid w:val="00DA5D57"/>
    <w:rsid w:val="00DA735E"/>
    <w:rsid w:val="00DA7612"/>
    <w:rsid w:val="00DA7FE0"/>
    <w:rsid w:val="00DB1AA7"/>
    <w:rsid w:val="00DB1E91"/>
    <w:rsid w:val="00DB4A94"/>
    <w:rsid w:val="00DB552D"/>
    <w:rsid w:val="00DB5920"/>
    <w:rsid w:val="00DB5A5F"/>
    <w:rsid w:val="00DB7314"/>
    <w:rsid w:val="00DC0385"/>
    <w:rsid w:val="00DC0E97"/>
    <w:rsid w:val="00DC1878"/>
    <w:rsid w:val="00DC203D"/>
    <w:rsid w:val="00DC61E3"/>
    <w:rsid w:val="00DC6710"/>
    <w:rsid w:val="00DC73F7"/>
    <w:rsid w:val="00DC75CB"/>
    <w:rsid w:val="00DC7FCC"/>
    <w:rsid w:val="00DD04D8"/>
    <w:rsid w:val="00DD0C45"/>
    <w:rsid w:val="00DD2D4C"/>
    <w:rsid w:val="00DD35FE"/>
    <w:rsid w:val="00DD52EE"/>
    <w:rsid w:val="00DD59D1"/>
    <w:rsid w:val="00DD706D"/>
    <w:rsid w:val="00DD7849"/>
    <w:rsid w:val="00DD7BA9"/>
    <w:rsid w:val="00DD7E2D"/>
    <w:rsid w:val="00DE0303"/>
    <w:rsid w:val="00DE124A"/>
    <w:rsid w:val="00DE1303"/>
    <w:rsid w:val="00DE2EA9"/>
    <w:rsid w:val="00DE3E65"/>
    <w:rsid w:val="00DE536A"/>
    <w:rsid w:val="00DE54AB"/>
    <w:rsid w:val="00DE5CA1"/>
    <w:rsid w:val="00DE5DD2"/>
    <w:rsid w:val="00DE6A8A"/>
    <w:rsid w:val="00DE6E5C"/>
    <w:rsid w:val="00DE7823"/>
    <w:rsid w:val="00DF0405"/>
    <w:rsid w:val="00DF0D51"/>
    <w:rsid w:val="00DF1224"/>
    <w:rsid w:val="00DF1459"/>
    <w:rsid w:val="00DF198B"/>
    <w:rsid w:val="00DF27D9"/>
    <w:rsid w:val="00DF2ED4"/>
    <w:rsid w:val="00DF2FE1"/>
    <w:rsid w:val="00DF374F"/>
    <w:rsid w:val="00DF451D"/>
    <w:rsid w:val="00DF4E8A"/>
    <w:rsid w:val="00DF6087"/>
    <w:rsid w:val="00DF6315"/>
    <w:rsid w:val="00DF6A9A"/>
    <w:rsid w:val="00DF7362"/>
    <w:rsid w:val="00DF7760"/>
    <w:rsid w:val="00DF7BBD"/>
    <w:rsid w:val="00DF7C68"/>
    <w:rsid w:val="00E01C94"/>
    <w:rsid w:val="00E02577"/>
    <w:rsid w:val="00E02D56"/>
    <w:rsid w:val="00E04D9A"/>
    <w:rsid w:val="00E063E1"/>
    <w:rsid w:val="00E07CD8"/>
    <w:rsid w:val="00E104FE"/>
    <w:rsid w:val="00E10FEF"/>
    <w:rsid w:val="00E12E9A"/>
    <w:rsid w:val="00E13063"/>
    <w:rsid w:val="00E13E11"/>
    <w:rsid w:val="00E13E49"/>
    <w:rsid w:val="00E17080"/>
    <w:rsid w:val="00E17829"/>
    <w:rsid w:val="00E17F27"/>
    <w:rsid w:val="00E2005C"/>
    <w:rsid w:val="00E203A7"/>
    <w:rsid w:val="00E20512"/>
    <w:rsid w:val="00E22BC2"/>
    <w:rsid w:val="00E23095"/>
    <w:rsid w:val="00E23459"/>
    <w:rsid w:val="00E23962"/>
    <w:rsid w:val="00E25BEA"/>
    <w:rsid w:val="00E263E6"/>
    <w:rsid w:val="00E276C4"/>
    <w:rsid w:val="00E277D6"/>
    <w:rsid w:val="00E27E03"/>
    <w:rsid w:val="00E30C41"/>
    <w:rsid w:val="00E32ED3"/>
    <w:rsid w:val="00E34D81"/>
    <w:rsid w:val="00E355D3"/>
    <w:rsid w:val="00E3729F"/>
    <w:rsid w:val="00E40D7E"/>
    <w:rsid w:val="00E42CC9"/>
    <w:rsid w:val="00E433A7"/>
    <w:rsid w:val="00E4396F"/>
    <w:rsid w:val="00E43E01"/>
    <w:rsid w:val="00E43F30"/>
    <w:rsid w:val="00E4576E"/>
    <w:rsid w:val="00E5037E"/>
    <w:rsid w:val="00E5063A"/>
    <w:rsid w:val="00E50AB6"/>
    <w:rsid w:val="00E517D4"/>
    <w:rsid w:val="00E522FF"/>
    <w:rsid w:val="00E52CC6"/>
    <w:rsid w:val="00E537F7"/>
    <w:rsid w:val="00E5558E"/>
    <w:rsid w:val="00E5604E"/>
    <w:rsid w:val="00E560FE"/>
    <w:rsid w:val="00E56842"/>
    <w:rsid w:val="00E56A2D"/>
    <w:rsid w:val="00E571F2"/>
    <w:rsid w:val="00E57EBF"/>
    <w:rsid w:val="00E60A22"/>
    <w:rsid w:val="00E6168A"/>
    <w:rsid w:val="00E62D71"/>
    <w:rsid w:val="00E63C28"/>
    <w:rsid w:val="00E647CA"/>
    <w:rsid w:val="00E64F71"/>
    <w:rsid w:val="00E6506D"/>
    <w:rsid w:val="00E67784"/>
    <w:rsid w:val="00E70664"/>
    <w:rsid w:val="00E70C0D"/>
    <w:rsid w:val="00E712BF"/>
    <w:rsid w:val="00E715D9"/>
    <w:rsid w:val="00E7193E"/>
    <w:rsid w:val="00E721F5"/>
    <w:rsid w:val="00E7269C"/>
    <w:rsid w:val="00E7290F"/>
    <w:rsid w:val="00E72D6D"/>
    <w:rsid w:val="00E7342A"/>
    <w:rsid w:val="00E73549"/>
    <w:rsid w:val="00E7676C"/>
    <w:rsid w:val="00E76862"/>
    <w:rsid w:val="00E80181"/>
    <w:rsid w:val="00E82DA8"/>
    <w:rsid w:val="00E8352E"/>
    <w:rsid w:val="00E83727"/>
    <w:rsid w:val="00E83CF5"/>
    <w:rsid w:val="00E84822"/>
    <w:rsid w:val="00E84AD2"/>
    <w:rsid w:val="00E853E2"/>
    <w:rsid w:val="00E853FE"/>
    <w:rsid w:val="00E85484"/>
    <w:rsid w:val="00E855BC"/>
    <w:rsid w:val="00E85C98"/>
    <w:rsid w:val="00E86572"/>
    <w:rsid w:val="00E904D7"/>
    <w:rsid w:val="00E91289"/>
    <w:rsid w:val="00E91810"/>
    <w:rsid w:val="00E94891"/>
    <w:rsid w:val="00E94AF4"/>
    <w:rsid w:val="00E953DF"/>
    <w:rsid w:val="00E95E84"/>
    <w:rsid w:val="00E96730"/>
    <w:rsid w:val="00E96F61"/>
    <w:rsid w:val="00E974DB"/>
    <w:rsid w:val="00E97845"/>
    <w:rsid w:val="00EA1EC6"/>
    <w:rsid w:val="00EA5322"/>
    <w:rsid w:val="00EA6BCD"/>
    <w:rsid w:val="00EB0176"/>
    <w:rsid w:val="00EB1273"/>
    <w:rsid w:val="00EB16F2"/>
    <w:rsid w:val="00EB34B2"/>
    <w:rsid w:val="00EB374D"/>
    <w:rsid w:val="00EB4268"/>
    <w:rsid w:val="00EB4AF5"/>
    <w:rsid w:val="00EB5382"/>
    <w:rsid w:val="00EB5A07"/>
    <w:rsid w:val="00EB6528"/>
    <w:rsid w:val="00EB6B3E"/>
    <w:rsid w:val="00EC3596"/>
    <w:rsid w:val="00EC393A"/>
    <w:rsid w:val="00EC3B11"/>
    <w:rsid w:val="00EC4AEA"/>
    <w:rsid w:val="00EC4D79"/>
    <w:rsid w:val="00EC4F1E"/>
    <w:rsid w:val="00EC584A"/>
    <w:rsid w:val="00EC724A"/>
    <w:rsid w:val="00ED0C77"/>
    <w:rsid w:val="00ED0F99"/>
    <w:rsid w:val="00ED2626"/>
    <w:rsid w:val="00ED2CF4"/>
    <w:rsid w:val="00ED3BBE"/>
    <w:rsid w:val="00ED414F"/>
    <w:rsid w:val="00ED41CE"/>
    <w:rsid w:val="00ED65DD"/>
    <w:rsid w:val="00EE0CBF"/>
    <w:rsid w:val="00EE0FA1"/>
    <w:rsid w:val="00EE15EF"/>
    <w:rsid w:val="00EE1CE1"/>
    <w:rsid w:val="00EE251D"/>
    <w:rsid w:val="00EE255A"/>
    <w:rsid w:val="00EE3CCF"/>
    <w:rsid w:val="00EE3D95"/>
    <w:rsid w:val="00EE3E04"/>
    <w:rsid w:val="00EE4184"/>
    <w:rsid w:val="00EE42BD"/>
    <w:rsid w:val="00EE50BE"/>
    <w:rsid w:val="00EE6056"/>
    <w:rsid w:val="00EE640E"/>
    <w:rsid w:val="00EE754B"/>
    <w:rsid w:val="00EE7D33"/>
    <w:rsid w:val="00EF0C63"/>
    <w:rsid w:val="00EF37BD"/>
    <w:rsid w:val="00EF5286"/>
    <w:rsid w:val="00EF5B68"/>
    <w:rsid w:val="00EF6B11"/>
    <w:rsid w:val="00EF71C7"/>
    <w:rsid w:val="00F006C3"/>
    <w:rsid w:val="00F007B6"/>
    <w:rsid w:val="00F0111F"/>
    <w:rsid w:val="00F0192B"/>
    <w:rsid w:val="00F021AB"/>
    <w:rsid w:val="00F03037"/>
    <w:rsid w:val="00F03259"/>
    <w:rsid w:val="00F048C1"/>
    <w:rsid w:val="00F058CE"/>
    <w:rsid w:val="00F05F05"/>
    <w:rsid w:val="00F066EB"/>
    <w:rsid w:val="00F076CB"/>
    <w:rsid w:val="00F07984"/>
    <w:rsid w:val="00F10716"/>
    <w:rsid w:val="00F11960"/>
    <w:rsid w:val="00F133D8"/>
    <w:rsid w:val="00F137DB"/>
    <w:rsid w:val="00F13FCC"/>
    <w:rsid w:val="00F143F5"/>
    <w:rsid w:val="00F15609"/>
    <w:rsid w:val="00F15BC3"/>
    <w:rsid w:val="00F164BE"/>
    <w:rsid w:val="00F16CAF"/>
    <w:rsid w:val="00F175F1"/>
    <w:rsid w:val="00F17E3D"/>
    <w:rsid w:val="00F20E4A"/>
    <w:rsid w:val="00F2217C"/>
    <w:rsid w:val="00F23A1F"/>
    <w:rsid w:val="00F240AE"/>
    <w:rsid w:val="00F240C7"/>
    <w:rsid w:val="00F26A4F"/>
    <w:rsid w:val="00F26D12"/>
    <w:rsid w:val="00F30668"/>
    <w:rsid w:val="00F30C85"/>
    <w:rsid w:val="00F313B0"/>
    <w:rsid w:val="00F320B5"/>
    <w:rsid w:val="00F323CE"/>
    <w:rsid w:val="00F3299A"/>
    <w:rsid w:val="00F32D83"/>
    <w:rsid w:val="00F33DDF"/>
    <w:rsid w:val="00F33EE1"/>
    <w:rsid w:val="00F346ED"/>
    <w:rsid w:val="00F34DE8"/>
    <w:rsid w:val="00F36639"/>
    <w:rsid w:val="00F36B73"/>
    <w:rsid w:val="00F377F0"/>
    <w:rsid w:val="00F37800"/>
    <w:rsid w:val="00F37A6E"/>
    <w:rsid w:val="00F4074C"/>
    <w:rsid w:val="00F408C7"/>
    <w:rsid w:val="00F40A11"/>
    <w:rsid w:val="00F42ACF"/>
    <w:rsid w:val="00F440BE"/>
    <w:rsid w:val="00F462E4"/>
    <w:rsid w:val="00F46CBE"/>
    <w:rsid w:val="00F52405"/>
    <w:rsid w:val="00F52A1B"/>
    <w:rsid w:val="00F539D9"/>
    <w:rsid w:val="00F55A5A"/>
    <w:rsid w:val="00F55B40"/>
    <w:rsid w:val="00F56593"/>
    <w:rsid w:val="00F56C34"/>
    <w:rsid w:val="00F61821"/>
    <w:rsid w:val="00F61D58"/>
    <w:rsid w:val="00F62168"/>
    <w:rsid w:val="00F627D4"/>
    <w:rsid w:val="00F62956"/>
    <w:rsid w:val="00F62EF7"/>
    <w:rsid w:val="00F649FB"/>
    <w:rsid w:val="00F64B5E"/>
    <w:rsid w:val="00F65F89"/>
    <w:rsid w:val="00F6748A"/>
    <w:rsid w:val="00F67E90"/>
    <w:rsid w:val="00F70330"/>
    <w:rsid w:val="00F7155D"/>
    <w:rsid w:val="00F725AD"/>
    <w:rsid w:val="00F73DD2"/>
    <w:rsid w:val="00F7450E"/>
    <w:rsid w:val="00F74FAC"/>
    <w:rsid w:val="00F76739"/>
    <w:rsid w:val="00F7767F"/>
    <w:rsid w:val="00F7778E"/>
    <w:rsid w:val="00F8034B"/>
    <w:rsid w:val="00F82A9E"/>
    <w:rsid w:val="00F82DA1"/>
    <w:rsid w:val="00F83018"/>
    <w:rsid w:val="00F84C0C"/>
    <w:rsid w:val="00F86D23"/>
    <w:rsid w:val="00F873ED"/>
    <w:rsid w:val="00F87915"/>
    <w:rsid w:val="00F90584"/>
    <w:rsid w:val="00F91371"/>
    <w:rsid w:val="00F91969"/>
    <w:rsid w:val="00F9373D"/>
    <w:rsid w:val="00F937E6"/>
    <w:rsid w:val="00F943F3"/>
    <w:rsid w:val="00F969AD"/>
    <w:rsid w:val="00F96B3C"/>
    <w:rsid w:val="00FA22D8"/>
    <w:rsid w:val="00FA27EC"/>
    <w:rsid w:val="00FA62A9"/>
    <w:rsid w:val="00FA64AF"/>
    <w:rsid w:val="00FA6BF8"/>
    <w:rsid w:val="00FA740E"/>
    <w:rsid w:val="00FB14F7"/>
    <w:rsid w:val="00FB1E25"/>
    <w:rsid w:val="00FB25D2"/>
    <w:rsid w:val="00FB392D"/>
    <w:rsid w:val="00FB4DCF"/>
    <w:rsid w:val="00FB67C6"/>
    <w:rsid w:val="00FB6FF1"/>
    <w:rsid w:val="00FB778B"/>
    <w:rsid w:val="00FB77B2"/>
    <w:rsid w:val="00FB7C03"/>
    <w:rsid w:val="00FC07C4"/>
    <w:rsid w:val="00FC0B40"/>
    <w:rsid w:val="00FC0CA4"/>
    <w:rsid w:val="00FC1F37"/>
    <w:rsid w:val="00FC2575"/>
    <w:rsid w:val="00FC3777"/>
    <w:rsid w:val="00FC3B1F"/>
    <w:rsid w:val="00FC4266"/>
    <w:rsid w:val="00FC7248"/>
    <w:rsid w:val="00FC7D32"/>
    <w:rsid w:val="00FD0BA9"/>
    <w:rsid w:val="00FD0D6B"/>
    <w:rsid w:val="00FD11A7"/>
    <w:rsid w:val="00FD1F19"/>
    <w:rsid w:val="00FD28DB"/>
    <w:rsid w:val="00FD4214"/>
    <w:rsid w:val="00FD424E"/>
    <w:rsid w:val="00FD4313"/>
    <w:rsid w:val="00FD45FB"/>
    <w:rsid w:val="00FD52EC"/>
    <w:rsid w:val="00FD6184"/>
    <w:rsid w:val="00FD67D1"/>
    <w:rsid w:val="00FD6E9C"/>
    <w:rsid w:val="00FD73EE"/>
    <w:rsid w:val="00FE194D"/>
    <w:rsid w:val="00FE1A07"/>
    <w:rsid w:val="00FE1A30"/>
    <w:rsid w:val="00FE1AE1"/>
    <w:rsid w:val="00FE214C"/>
    <w:rsid w:val="00FE237D"/>
    <w:rsid w:val="00FE502C"/>
    <w:rsid w:val="00FE547F"/>
    <w:rsid w:val="00FE57C8"/>
    <w:rsid w:val="00FE6827"/>
    <w:rsid w:val="00FE7988"/>
    <w:rsid w:val="00FE7E89"/>
    <w:rsid w:val="00FF091C"/>
    <w:rsid w:val="00FF18D5"/>
    <w:rsid w:val="00FF2C5A"/>
    <w:rsid w:val="00FF31D0"/>
    <w:rsid w:val="00FF3491"/>
    <w:rsid w:val="00FF4FDD"/>
    <w:rsid w:val="00FF51DB"/>
    <w:rsid w:val="35F9304A"/>
    <w:rsid w:val="4E6F0DB3"/>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8989143"/>
  <w15:docId w15:val="{0615B06E-260F-4C16-851A-CBF4E0F92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val="en-US" w:eastAsia="en-US"/>
    </w:rPr>
  </w:style>
  <w:style w:type="paragraph" w:styleId="1">
    <w:name w:val="heading 1"/>
    <w:basedOn w:val="a"/>
    <w:next w:val="a"/>
    <w:link w:val="1Char"/>
    <w:uiPriority w:val="9"/>
    <w:qFormat/>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pPr>
      <w:keepNext/>
      <w:keepLines/>
      <w:numPr>
        <w:ilvl w:val="1"/>
        <w:numId w:val="1"/>
      </w:numPr>
      <w:spacing w:before="40" w:after="0"/>
      <w:ind w:right="-144"/>
      <w:jc w:val="both"/>
      <w:outlineLvl w:val="1"/>
    </w:pPr>
    <w:rPr>
      <w:rFonts w:asciiTheme="majorHAnsi" w:eastAsiaTheme="majorEastAsia" w:hAnsiTheme="majorHAnsi" w:cstheme="majorBidi"/>
      <w:b/>
      <w:bCs/>
      <w:color w:val="000000" w:themeColor="text1"/>
      <w:sz w:val="28"/>
      <w:szCs w:val="28"/>
      <w:lang w:val="el-GR"/>
    </w:rPr>
  </w:style>
  <w:style w:type="paragraph" w:styleId="3">
    <w:name w:val="heading 3"/>
    <w:basedOn w:val="a"/>
    <w:next w:val="a"/>
    <w:link w:val="3Char"/>
    <w:uiPriority w:val="9"/>
    <w:unhideWhenUsed/>
    <w:qFormat/>
    <w:pPr>
      <w:keepNext/>
      <w:keepLines/>
      <w:numPr>
        <w:ilvl w:val="2"/>
        <w:numId w:val="1"/>
      </w:numPr>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Char"/>
    <w:uiPriority w:val="9"/>
    <w:semiHidden/>
    <w:unhideWhenUsed/>
    <w:qFormat/>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pPr>
      <w:spacing w:after="0" w:line="240" w:lineRule="auto"/>
    </w:pPr>
    <w:rPr>
      <w:rFonts w:ascii="Segoe UI" w:hAnsi="Segoe UI" w:cs="Segoe UI"/>
      <w:sz w:val="18"/>
      <w:szCs w:val="18"/>
    </w:rPr>
  </w:style>
  <w:style w:type="paragraph" w:styleId="a4">
    <w:name w:val="caption"/>
    <w:basedOn w:val="a"/>
    <w:next w:val="a"/>
    <w:uiPriority w:val="35"/>
    <w:unhideWhenUsed/>
    <w:qFormat/>
    <w:pPr>
      <w:spacing w:after="200" w:line="240" w:lineRule="auto"/>
    </w:pPr>
    <w:rPr>
      <w:i/>
      <w:iCs/>
      <w:color w:val="44546A" w:themeColor="text2"/>
      <w:sz w:val="18"/>
      <w:szCs w:val="18"/>
    </w:rPr>
  </w:style>
  <w:style w:type="character" w:styleId="a5">
    <w:name w:val="annotation reference"/>
    <w:basedOn w:val="a0"/>
    <w:uiPriority w:val="99"/>
    <w:semiHidden/>
    <w:unhideWhenUsed/>
    <w:rPr>
      <w:sz w:val="16"/>
      <w:szCs w:val="16"/>
    </w:rPr>
  </w:style>
  <w:style w:type="paragraph" w:styleId="a6">
    <w:name w:val="annotation text"/>
    <w:basedOn w:val="a"/>
    <w:link w:val="Char0"/>
    <w:uiPriority w:val="99"/>
    <w:semiHidden/>
    <w:unhideWhenUsed/>
    <w:pPr>
      <w:spacing w:line="240" w:lineRule="auto"/>
    </w:pPr>
    <w:rPr>
      <w:sz w:val="20"/>
      <w:szCs w:val="20"/>
    </w:rPr>
  </w:style>
  <w:style w:type="paragraph" w:styleId="a7">
    <w:name w:val="annotation subject"/>
    <w:basedOn w:val="a6"/>
    <w:next w:val="a6"/>
    <w:link w:val="Char1"/>
    <w:uiPriority w:val="99"/>
    <w:semiHidden/>
    <w:unhideWhenUsed/>
    <w:rPr>
      <w:b/>
      <w:bCs/>
    </w:rPr>
  </w:style>
  <w:style w:type="character" w:styleId="-">
    <w:name w:val="FollowedHyperlink"/>
    <w:basedOn w:val="a0"/>
    <w:uiPriority w:val="99"/>
    <w:semiHidden/>
    <w:unhideWhenUsed/>
    <w:rPr>
      <w:color w:val="954F72" w:themeColor="followedHyperlink"/>
      <w:u w:val="single"/>
    </w:rPr>
  </w:style>
  <w:style w:type="paragraph" w:styleId="a8">
    <w:name w:val="footer"/>
    <w:basedOn w:val="a"/>
    <w:link w:val="Char2"/>
    <w:uiPriority w:val="99"/>
    <w:unhideWhenUsed/>
    <w:qFormat/>
    <w:pPr>
      <w:tabs>
        <w:tab w:val="center" w:pos="4680"/>
        <w:tab w:val="right" w:pos="9360"/>
      </w:tabs>
      <w:spacing w:after="0" w:line="240" w:lineRule="auto"/>
    </w:pPr>
  </w:style>
  <w:style w:type="character" w:styleId="a9">
    <w:name w:val="footnote reference"/>
    <w:basedOn w:val="a0"/>
    <w:link w:val="4GCharCharChar"/>
    <w:uiPriority w:val="99"/>
    <w:unhideWhenUsed/>
    <w:qFormat/>
    <w:rPr>
      <w:vertAlign w:val="superscript"/>
    </w:rPr>
  </w:style>
  <w:style w:type="paragraph" w:customStyle="1" w:styleId="4GCharCharChar">
    <w:name w:val="4_G Char Char Char"/>
    <w:basedOn w:val="a"/>
    <w:link w:val="a9"/>
    <w:uiPriority w:val="99"/>
    <w:pPr>
      <w:spacing w:after="0" w:line="240" w:lineRule="exact"/>
      <w:jc w:val="both"/>
    </w:pPr>
    <w:rPr>
      <w:vertAlign w:val="superscript"/>
    </w:rPr>
  </w:style>
  <w:style w:type="paragraph" w:styleId="aa">
    <w:name w:val="footnote text"/>
    <w:basedOn w:val="a"/>
    <w:link w:val="Char3"/>
    <w:uiPriority w:val="99"/>
    <w:unhideWhenUsed/>
    <w:qFormat/>
    <w:pPr>
      <w:spacing w:after="0" w:line="240" w:lineRule="auto"/>
    </w:pPr>
    <w:rPr>
      <w:sz w:val="20"/>
      <w:szCs w:val="20"/>
    </w:rPr>
  </w:style>
  <w:style w:type="paragraph" w:styleId="ab">
    <w:name w:val="header"/>
    <w:basedOn w:val="a"/>
    <w:link w:val="Char4"/>
    <w:uiPriority w:val="99"/>
    <w:unhideWhenUsed/>
    <w:pPr>
      <w:tabs>
        <w:tab w:val="center" w:pos="4680"/>
        <w:tab w:val="right" w:pos="9360"/>
      </w:tabs>
      <w:spacing w:after="0" w:line="240" w:lineRule="auto"/>
    </w:pPr>
  </w:style>
  <w:style w:type="paragraph" w:styleId="-HTML">
    <w:name w:val="HTML Preformatted"/>
    <w:basedOn w:val="a"/>
    <w:link w:val="-HTML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l-GR" w:eastAsia="el-GR"/>
    </w:rPr>
  </w:style>
  <w:style w:type="character" w:styleId="-0">
    <w:name w:val="Hyperlink"/>
    <w:basedOn w:val="a0"/>
    <w:uiPriority w:val="99"/>
    <w:unhideWhenUsed/>
    <w:rPr>
      <w:color w:val="0563C1" w:themeColor="hyperlink"/>
      <w:u w:val="single"/>
    </w:rPr>
  </w:style>
  <w:style w:type="paragraph" w:styleId="Web">
    <w:name w:val="Normal (Web)"/>
    <w:basedOn w:val="a"/>
    <w:uiPriority w:val="99"/>
    <w:pPr>
      <w:spacing w:before="100" w:beforeAutospacing="1" w:after="100" w:afterAutospacing="1" w:line="240" w:lineRule="auto"/>
      <w:jc w:val="both"/>
    </w:pPr>
    <w:rPr>
      <w:rFonts w:ascii="Calibri" w:eastAsia="Times New Roman" w:hAnsi="Calibri" w:cs="Times New Roman"/>
      <w:sz w:val="24"/>
      <w:szCs w:val="24"/>
    </w:rPr>
  </w:style>
  <w:style w:type="character" w:styleId="ac">
    <w:name w:val="Strong"/>
    <w:qFormat/>
    <w:rPr>
      <w:b/>
      <w:bCs/>
    </w:rPr>
  </w:style>
  <w:style w:type="paragraph" w:styleId="ad">
    <w:name w:val="Subtitle"/>
    <w:basedOn w:val="a"/>
    <w:next w:val="a"/>
    <w:link w:val="Char5"/>
    <w:qFormat/>
    <w:pPr>
      <w:spacing w:line="276" w:lineRule="auto"/>
      <w:jc w:val="both"/>
    </w:pPr>
    <w:rPr>
      <w:rFonts w:eastAsiaTheme="minorEastAsia"/>
      <w:color w:val="595959" w:themeColor="text1" w:themeTint="A6"/>
      <w:spacing w:val="15"/>
      <w:lang w:val="el-GR" w:eastAsia="el-GR"/>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able of figures"/>
    <w:basedOn w:val="a"/>
    <w:next w:val="a"/>
    <w:uiPriority w:val="99"/>
    <w:unhideWhenUsed/>
    <w:pPr>
      <w:spacing w:after="0"/>
    </w:pPr>
  </w:style>
  <w:style w:type="paragraph" w:styleId="af0">
    <w:name w:val="Title"/>
    <w:basedOn w:val="a"/>
    <w:next w:val="a"/>
    <w:link w:val="Char6"/>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10">
    <w:name w:val="toc 1"/>
    <w:basedOn w:val="a"/>
    <w:next w:val="a"/>
    <w:uiPriority w:val="39"/>
    <w:unhideWhenUsed/>
    <w:pPr>
      <w:tabs>
        <w:tab w:val="left" w:pos="440"/>
        <w:tab w:val="right" w:leader="dot" w:pos="9203"/>
      </w:tabs>
      <w:spacing w:after="100"/>
      <w:ind w:left="426" w:hanging="426"/>
    </w:pPr>
  </w:style>
  <w:style w:type="paragraph" w:styleId="20">
    <w:name w:val="toc 2"/>
    <w:basedOn w:val="a"/>
    <w:next w:val="a"/>
    <w:uiPriority w:val="39"/>
    <w:unhideWhenUsed/>
    <w:pPr>
      <w:spacing w:after="100"/>
      <w:ind w:left="220"/>
    </w:pPr>
  </w:style>
  <w:style w:type="paragraph" w:styleId="30">
    <w:name w:val="toc 3"/>
    <w:basedOn w:val="a"/>
    <w:next w:val="a"/>
    <w:uiPriority w:val="39"/>
    <w:unhideWhenUsed/>
    <w:pPr>
      <w:spacing w:after="100"/>
      <w:ind w:left="440"/>
    </w:pPr>
    <w:rPr>
      <w:rFonts w:eastAsiaTheme="minorEastAsia" w:cs="Times New Roman"/>
      <w:lang w:val="el-GR" w:eastAsia="el-GR"/>
    </w:rPr>
  </w:style>
  <w:style w:type="character" w:customStyle="1" w:styleId="Char4">
    <w:name w:val="Κεφαλίδα Char"/>
    <w:basedOn w:val="a0"/>
    <w:link w:val="ab"/>
    <w:uiPriority w:val="99"/>
    <w:qFormat/>
  </w:style>
  <w:style w:type="character" w:customStyle="1" w:styleId="Char2">
    <w:name w:val="Υποσέλιδο Char"/>
    <w:basedOn w:val="a0"/>
    <w:link w:val="a8"/>
    <w:uiPriority w:val="99"/>
    <w:qFormat/>
  </w:style>
  <w:style w:type="character" w:customStyle="1" w:styleId="Char6">
    <w:name w:val="Τίτλος Char"/>
    <w:basedOn w:val="a0"/>
    <w:link w:val="af0"/>
    <w:uiPriority w:val="10"/>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0"/>
    <w:link w:val="2"/>
    <w:uiPriority w:val="9"/>
    <w:rPr>
      <w:rFonts w:asciiTheme="majorHAnsi" w:eastAsiaTheme="majorEastAsia" w:hAnsiTheme="majorHAnsi" w:cstheme="majorBidi"/>
      <w:b/>
      <w:bCs/>
      <w:color w:val="000000" w:themeColor="text1"/>
      <w:sz w:val="28"/>
      <w:szCs w:val="28"/>
      <w:lang w:val="el-GR"/>
    </w:rPr>
  </w:style>
  <w:style w:type="character" w:customStyle="1" w:styleId="3Char">
    <w:name w:val="Επικεφαλίδα 3 Char"/>
    <w:basedOn w:val="a0"/>
    <w:link w:val="3"/>
    <w:uiPriority w:val="9"/>
    <w:rPr>
      <w:rFonts w:asciiTheme="majorHAnsi" w:eastAsiaTheme="majorEastAsia" w:hAnsiTheme="majorHAnsi" w:cstheme="majorBidi"/>
      <w:color w:val="1F3864" w:themeColor="accent1" w:themeShade="80"/>
      <w:sz w:val="24"/>
      <w:szCs w:val="24"/>
    </w:rPr>
  </w:style>
  <w:style w:type="character" w:customStyle="1" w:styleId="4Char">
    <w:name w:val="Επικεφαλίδα 4 Char"/>
    <w:basedOn w:val="a0"/>
    <w:link w:val="4"/>
    <w:uiPriority w:val="9"/>
    <w:semiHidden/>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Pr>
      <w:rFonts w:asciiTheme="majorHAnsi" w:eastAsiaTheme="majorEastAsia" w:hAnsiTheme="majorHAnsi" w:cstheme="majorBidi"/>
      <w:color w:val="1F3864" w:themeColor="accent1" w:themeShade="80"/>
    </w:rPr>
  </w:style>
  <w:style w:type="character" w:customStyle="1" w:styleId="7Char">
    <w:name w:val="Επικεφαλίδα 7 Char"/>
    <w:basedOn w:val="a0"/>
    <w:link w:val="7"/>
    <w:uiPriority w:val="9"/>
    <w:semiHidden/>
    <w:rPr>
      <w:rFonts w:asciiTheme="majorHAnsi" w:eastAsiaTheme="majorEastAsia" w:hAnsiTheme="majorHAnsi" w:cstheme="majorBidi"/>
      <w:i/>
      <w:iCs/>
      <w:color w:val="1F3864" w:themeColor="accent1" w:themeShade="80"/>
    </w:rPr>
  </w:style>
  <w:style w:type="character" w:customStyle="1" w:styleId="8Char">
    <w:name w:val="Επικεφαλίδα 8 Char"/>
    <w:basedOn w:val="a0"/>
    <w:link w:val="8"/>
    <w:uiPriority w:val="9"/>
    <w:semiHidden/>
    <w:rPr>
      <w:rFonts w:asciiTheme="majorHAnsi" w:eastAsiaTheme="majorEastAsia" w:hAnsiTheme="majorHAnsi" w:cstheme="majorBidi"/>
      <w:color w:val="262626" w:themeColor="text1" w:themeTint="D9"/>
      <w:sz w:val="21"/>
      <w:szCs w:val="21"/>
    </w:rPr>
  </w:style>
  <w:style w:type="character" w:customStyle="1" w:styleId="9Char">
    <w:name w:val="Επικεφαλίδα 9 Char"/>
    <w:basedOn w:val="a0"/>
    <w:link w:val="9"/>
    <w:uiPriority w:val="9"/>
    <w:semiHidden/>
    <w:rPr>
      <w:rFonts w:asciiTheme="majorHAnsi" w:eastAsiaTheme="majorEastAsia" w:hAnsiTheme="majorHAnsi" w:cstheme="majorBidi"/>
      <w:i/>
      <w:iCs/>
      <w:color w:val="262626" w:themeColor="text1" w:themeTint="D9"/>
      <w:sz w:val="21"/>
      <w:szCs w:val="21"/>
    </w:rPr>
  </w:style>
  <w:style w:type="character" w:styleId="af1">
    <w:name w:val="Placeholder Text"/>
    <w:basedOn w:val="a0"/>
    <w:uiPriority w:val="99"/>
    <w:semiHidden/>
    <w:rPr>
      <w:color w:val="808080"/>
    </w:rPr>
  </w:style>
  <w:style w:type="character" w:customStyle="1" w:styleId="Char3">
    <w:name w:val="Κείμενο υποσημείωσης Char"/>
    <w:basedOn w:val="a0"/>
    <w:link w:val="aa"/>
    <w:uiPriority w:val="99"/>
    <w:rPr>
      <w:sz w:val="20"/>
      <w:szCs w:val="20"/>
    </w:rPr>
  </w:style>
  <w:style w:type="character" w:customStyle="1" w:styleId="11">
    <w:name w:val="Ανεπίλυτη αναφορά1"/>
    <w:basedOn w:val="a0"/>
    <w:uiPriority w:val="99"/>
    <w:semiHidden/>
    <w:unhideWhenUsed/>
    <w:rPr>
      <w:color w:val="808080"/>
      <w:shd w:val="clear" w:color="auto" w:fill="E6E6E6"/>
    </w:rPr>
  </w:style>
  <w:style w:type="paragraph" w:styleId="af2">
    <w:name w:val="List Paragraph"/>
    <w:basedOn w:val="a"/>
    <w:link w:val="Char7"/>
    <w:uiPriority w:val="34"/>
    <w:qFormat/>
    <w:pPr>
      <w:ind w:left="720"/>
      <w:contextualSpacing/>
    </w:pPr>
  </w:style>
  <w:style w:type="paragraph" w:customStyle="1" w:styleId="12">
    <w:name w:val="Επικεφαλίδα ΠΠ1"/>
    <w:basedOn w:val="1"/>
    <w:next w:val="a"/>
    <w:uiPriority w:val="39"/>
    <w:unhideWhenUsed/>
    <w:qFormat/>
    <w:pPr>
      <w:outlineLvl w:val="9"/>
    </w:pPr>
  </w:style>
  <w:style w:type="paragraph" w:customStyle="1" w:styleId="Default">
    <w:name w:val="Default"/>
    <w:pPr>
      <w:autoSpaceDE w:val="0"/>
      <w:autoSpaceDN w:val="0"/>
      <w:adjustRightInd w:val="0"/>
    </w:pPr>
    <w:rPr>
      <w:rFonts w:ascii="Book Antiqua" w:hAnsi="Book Antiqua" w:cs="Book Antiqua"/>
      <w:color w:val="000000"/>
      <w:sz w:val="24"/>
      <w:szCs w:val="24"/>
      <w:lang w:eastAsia="en-US"/>
    </w:rPr>
  </w:style>
  <w:style w:type="character" w:customStyle="1" w:styleId="21">
    <w:name w:val="Ανεπίλυτη αναφορά2"/>
    <w:basedOn w:val="a0"/>
    <w:uiPriority w:val="99"/>
    <w:semiHidden/>
    <w:unhideWhenUsed/>
    <w:rPr>
      <w:color w:val="605E5C"/>
      <w:shd w:val="clear" w:color="auto" w:fill="E1DFDD"/>
    </w:rPr>
  </w:style>
  <w:style w:type="table" w:customStyle="1" w:styleId="2-51">
    <w:name w:val="Πίνακας 2 με πλέγμα - Έμφαση 51"/>
    <w:basedOn w:val="a1"/>
    <w:uiPriority w:val="47"/>
    <w:tblPr>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21">
    <w:name w:val="Πίνακας 1 με ανοιχτόχρωμο πλέγμα - Έμφαση 21"/>
    <w:basedOn w:val="a1"/>
    <w:uiPriority w:val="46"/>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Char">
    <w:name w:val="Κείμενο πλαισίου Char"/>
    <w:basedOn w:val="a0"/>
    <w:link w:val="a3"/>
    <w:uiPriority w:val="99"/>
    <w:semiHidden/>
    <w:rPr>
      <w:rFonts w:ascii="Segoe UI" w:hAnsi="Segoe UI" w:cs="Segoe UI"/>
      <w:sz w:val="18"/>
      <w:szCs w:val="18"/>
    </w:rPr>
  </w:style>
  <w:style w:type="table" w:customStyle="1" w:styleId="110">
    <w:name w:val="Απλός πίνακας 11"/>
    <w:basedOn w:val="a1"/>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Απλός πίνακας 51"/>
    <w:basedOn w:val="a1"/>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har0">
    <w:name w:val="Κείμενο σχολίου Char"/>
    <w:basedOn w:val="a0"/>
    <w:link w:val="a6"/>
    <w:uiPriority w:val="99"/>
    <w:semiHidden/>
    <w:rPr>
      <w:sz w:val="20"/>
      <w:szCs w:val="20"/>
    </w:rPr>
  </w:style>
  <w:style w:type="character" w:customStyle="1" w:styleId="Char1">
    <w:name w:val="Θέμα σχολίου Char"/>
    <w:basedOn w:val="Char0"/>
    <w:link w:val="a7"/>
    <w:uiPriority w:val="99"/>
    <w:semiHidden/>
    <w:rPr>
      <w:b/>
      <w:bCs/>
      <w:sz w:val="20"/>
      <w:szCs w:val="20"/>
    </w:rPr>
  </w:style>
  <w:style w:type="table" w:customStyle="1" w:styleId="4-61">
    <w:name w:val="Πίνακας 4 με πλέγμα - Έμφαση 61"/>
    <w:basedOn w:val="a1"/>
    <w:uiPriority w:val="49"/>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st">
    <w:name w:val="st"/>
    <w:basedOn w:val="a0"/>
  </w:style>
  <w:style w:type="table" w:customStyle="1" w:styleId="4-41">
    <w:name w:val="Πίνακας 4 με πλέγμα - Έμφαση 41"/>
    <w:basedOn w:val="a1"/>
    <w:uiPriority w:val="49"/>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5-21">
    <w:name w:val="Πίνακας 5 με σκούρο πλέγμα - Έμφαση 2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1-31">
    <w:name w:val="Πίνακας 1 με ανοιχτόχρωμο πλέγμα - Έμφαση 31"/>
    <w:basedOn w:val="a1"/>
    <w:uiPriority w:val="46"/>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TMLChar">
    <w:name w:val="Προ-διαμορφωμένο HTML Char"/>
    <w:basedOn w:val="a0"/>
    <w:link w:val="-HTML"/>
    <w:uiPriority w:val="99"/>
    <w:rPr>
      <w:rFonts w:ascii="Courier New" w:eastAsia="Times New Roman" w:hAnsi="Courier New" w:cs="Courier New"/>
      <w:sz w:val="20"/>
      <w:szCs w:val="20"/>
      <w:lang w:val="el-GR" w:eastAsia="el-GR"/>
    </w:rPr>
  </w:style>
  <w:style w:type="character" w:customStyle="1" w:styleId="smalltext">
    <w:name w:val="smalltext"/>
    <w:basedOn w:val="a0"/>
  </w:style>
  <w:style w:type="table" w:customStyle="1" w:styleId="111">
    <w:name w:val="Πίνακας 1 με ανοιχτόχρωμο πλέγμα1"/>
    <w:basedOn w:val="a1"/>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31">
    <w:name w:val="Ανεπίλυτη αναφορά3"/>
    <w:basedOn w:val="a0"/>
    <w:uiPriority w:val="99"/>
    <w:semiHidden/>
    <w:unhideWhenUsed/>
    <w:rPr>
      <w:color w:val="605E5C"/>
      <w:shd w:val="clear" w:color="auto" w:fill="E1DFDD"/>
    </w:rPr>
  </w:style>
  <w:style w:type="character" w:customStyle="1" w:styleId="tlid-translation">
    <w:name w:val="tlid-translation"/>
    <w:basedOn w:val="a0"/>
  </w:style>
  <w:style w:type="table" w:customStyle="1" w:styleId="210">
    <w:name w:val="Απλός πίνακας 21"/>
    <w:basedOn w:val="a1"/>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3">
    <w:name w:val="Αναθεώρηση1"/>
    <w:hidden/>
    <w:uiPriority w:val="99"/>
    <w:semiHidden/>
    <w:rPr>
      <w:sz w:val="22"/>
      <w:szCs w:val="22"/>
      <w:lang w:val="en-US" w:eastAsia="en-US"/>
    </w:rPr>
  </w:style>
  <w:style w:type="character" w:customStyle="1" w:styleId="Char7">
    <w:name w:val="Παράγραφος λίστας Char"/>
    <w:basedOn w:val="a0"/>
    <w:link w:val="af2"/>
    <w:uiPriority w:val="34"/>
  </w:style>
  <w:style w:type="character" w:customStyle="1" w:styleId="Char5">
    <w:name w:val="Υπότιτλος Char"/>
    <w:basedOn w:val="a0"/>
    <w:link w:val="ad"/>
    <w:rPr>
      <w:rFonts w:eastAsiaTheme="minorEastAsia"/>
      <w:color w:val="595959" w:themeColor="text1" w:themeTint="A6"/>
      <w:spacing w:val="15"/>
      <w:lang w:val="el-GR" w:eastAsia="el-GR"/>
    </w:rPr>
  </w:style>
  <w:style w:type="paragraph" w:styleId="af3">
    <w:name w:val="No Spacing"/>
    <w:uiPriority w:val="1"/>
    <w:qFormat/>
    <w:rPr>
      <w:rFonts w:ascii="Times New Roman" w:eastAsia="Times New Roman" w:hAnsi="Times New Roman" w:cs="Times New Roman"/>
      <w:sz w:val="22"/>
      <w:szCs w:val="22"/>
      <w:lang w:val="fr-BE" w:eastAsia="en-US"/>
    </w:rPr>
  </w:style>
  <w:style w:type="character" w:customStyle="1" w:styleId="markedcontent">
    <w:name w:val="markedcontent"/>
    <w:basedOn w:val="a0"/>
  </w:style>
  <w:style w:type="character" w:customStyle="1" w:styleId="40">
    <w:name w:val="Ανεπίλυτη αναφορά4"/>
    <w:basedOn w:val="a0"/>
    <w:uiPriority w:val="99"/>
    <w:semiHidden/>
    <w:unhideWhenUsed/>
    <w:rPr>
      <w:color w:val="605E5C"/>
      <w:shd w:val="clear" w:color="auto" w:fill="E1DFDD"/>
    </w:rPr>
  </w:style>
  <w:style w:type="character" w:customStyle="1" w:styleId="50">
    <w:name w:val="Ανεπίλυτη αναφορά5"/>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8.xml"/><Relationship Id="rId4" Type="http://schemas.openxmlformats.org/officeDocument/2006/relationships/styles" Target="styles.xml"/><Relationship Id="rId9" Type="http://schemas.openxmlformats.org/officeDocument/2006/relationships/hyperlink" Target="http://www.paratiritirioanapirias.gr/" TargetMode="Externa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paratiritirioanapirias.gr/el/results/publicat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ropbox\ESAMEA\&#917;&#929;&#915;&#913;&#932;&#921;&#922;&#927;&#933;%20&#916;&#933;&#925;&#913;&#924;&#921;&#922;&#927;&#933;%202022_&#913;&#924;&#917;&#913;_WF\analy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exandros\Dropbox\Desktop\myPro\01%20&#928;&#945;&#961;&#945;&#964;&#951;&#961;&#951;&#964;&#951;&#961;&#953;&#959;\4%20Contributions\14_&#916;&#949;&#955;&#964;&#943;&#959;\analysis_graphs_1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ropbox\ESAMEA\&#917;&#929;&#915;&#913;&#932;&#921;&#922;&#927;&#933;%20&#916;&#933;&#925;&#913;&#924;&#921;&#922;&#927;&#933;%202022_&#913;&#924;&#917;&#913;_WF\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917;&#929;&#915;&#913;&#932;&#921;&#922;&#927;&#933;%20&#916;&#933;&#925;&#913;&#924;&#921;&#922;&#927;&#933;%202022_&#913;&#924;&#917;&#913;_WF\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917;&#929;&#915;&#913;&#932;&#921;&#922;&#927;&#933;%20&#916;&#933;&#925;&#913;&#924;&#921;&#922;&#927;&#933;%202022_&#913;&#924;&#917;&#913;_WF\analy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'γραφημα 1'!$B$4</c:f>
              <c:strCache>
                <c:ptCount val="1"/>
                <c:pt idx="0">
                  <c:v>Με αναπηρία</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lstStyle/>
              <a:p>
                <a:pPr>
                  <a:defRPr lang="en-US"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'γραφημα 1'!$C$3:$E$3</c:f>
              <c:strCache>
                <c:ptCount val="3"/>
                <c:pt idx="0">
                  <c:v>15-44</c:v>
                </c:pt>
                <c:pt idx="1">
                  <c:v>45-64</c:v>
                </c:pt>
                <c:pt idx="2">
                  <c:v>65 και άνω</c:v>
                </c:pt>
              </c:strCache>
            </c:strRef>
          </c:cat>
          <c:val>
            <c:numRef>
              <c:f>'γραφημα 1'!$C$4:$E$4</c:f>
              <c:numCache>
                <c:formatCode>###0</c:formatCode>
                <c:ptCount val="3"/>
                <c:pt idx="0">
                  <c:v>62608</c:v>
                </c:pt>
                <c:pt idx="1">
                  <c:v>168815</c:v>
                </c:pt>
                <c:pt idx="2">
                  <c:v>823312</c:v>
                </c:pt>
              </c:numCache>
            </c:numRef>
          </c:val>
          <c:extLst>
            <c:ext xmlns:c16="http://schemas.microsoft.com/office/drawing/2014/chart" uri="{C3380CC4-5D6E-409C-BE32-E72D297353CC}">
              <c16:uniqueId val="{00000000-59E2-46CB-B6EF-CB243966D8E8}"/>
            </c:ext>
          </c:extLst>
        </c:ser>
        <c:dLbls>
          <c:showLegendKey val="0"/>
          <c:showVal val="0"/>
          <c:showCatName val="0"/>
          <c:showSerName val="0"/>
          <c:showPercent val="0"/>
          <c:showBubbleSize val="0"/>
        </c:dLbls>
        <c:gapWidth val="219"/>
        <c:overlap val="-27"/>
        <c:axId val="1637887343"/>
        <c:axId val="1859722287"/>
      </c:barChart>
      <c:catAx>
        <c:axId val="1637887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crossAx val="1859722287"/>
        <c:crosses val="autoZero"/>
        <c:auto val="1"/>
        <c:lblAlgn val="ctr"/>
        <c:lblOffset val="100"/>
        <c:noMultiLvlLbl val="0"/>
      </c:catAx>
      <c:valAx>
        <c:axId val="1859722287"/>
        <c:scaling>
          <c:orientation val="minMax"/>
        </c:scaling>
        <c:delete val="1"/>
        <c:axPos val="l"/>
        <c:numFmt formatCode="###0" sourceLinked="1"/>
        <c:majorTickMark val="none"/>
        <c:minorTickMark val="none"/>
        <c:tickLblPos val="nextTo"/>
        <c:crossAx val="16378873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sz="1100">
          <a:latin typeface="+mn-lt"/>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καταπ_15_44!$D$33</c:f>
              <c:strCache>
                <c:ptCount val="1"/>
                <c:pt idx="0">
                  <c:v>Δείκτης απασχόλησης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3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καταπ_15_44!$C$34:$C$36</c:f>
              <c:strCache>
                <c:ptCount val="3"/>
                <c:pt idx="0">
                  <c:v>Με αναπηρία</c:v>
                </c:pt>
                <c:pt idx="1">
                  <c:v>Χωρίς αναπηρία</c:v>
                </c:pt>
                <c:pt idx="2">
                  <c:v>Συνολικός πληθυσμός</c:v>
                </c:pt>
              </c:strCache>
            </c:strRef>
          </c:cat>
          <c:val>
            <c:numRef>
              <c:f>καταπ_15_44!$D$34:$D$36</c:f>
              <c:numCache>
                <c:formatCode>###0.0%</c:formatCode>
                <c:ptCount val="3"/>
                <c:pt idx="0">
                  <c:v>0.124950087048188</c:v>
                </c:pt>
                <c:pt idx="1">
                  <c:v>0.57774742392103895</c:v>
                </c:pt>
                <c:pt idx="2">
                  <c:v>0.56991437556107405</c:v>
                </c:pt>
              </c:numCache>
            </c:numRef>
          </c:val>
          <c:extLst>
            <c:ext xmlns:c16="http://schemas.microsoft.com/office/drawing/2014/chart" uri="{C3380CC4-5D6E-409C-BE32-E72D297353CC}">
              <c16:uniqueId val="{00000000-3268-43A5-89E2-5F1AC3F2CB68}"/>
            </c:ext>
          </c:extLst>
        </c:ser>
        <c:ser>
          <c:idx val="1"/>
          <c:order val="1"/>
          <c:tx>
            <c:strRef>
              <c:f>καταπ_15_44!$E$33</c:f>
              <c:strCache>
                <c:ptCount val="1"/>
                <c:pt idx="0">
                  <c:v>Δείκτης ανεργίας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3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καταπ_15_44!$C$34:$C$36</c:f>
              <c:strCache>
                <c:ptCount val="3"/>
                <c:pt idx="0">
                  <c:v>Με αναπηρία</c:v>
                </c:pt>
                <c:pt idx="1">
                  <c:v>Χωρίς αναπηρία</c:v>
                </c:pt>
                <c:pt idx="2">
                  <c:v>Συνολικός πληθυσμός</c:v>
                </c:pt>
              </c:strCache>
            </c:strRef>
          </c:cat>
          <c:val>
            <c:numRef>
              <c:f>καταπ_15_44!$E$34:$E$36</c:f>
              <c:numCache>
                <c:formatCode>0.0%</c:formatCode>
                <c:ptCount val="3"/>
                <c:pt idx="0">
                  <c:v>0.21589656209281299</c:v>
                </c:pt>
                <c:pt idx="1">
                  <c:v>0.15658380810087499</c:v>
                </c:pt>
                <c:pt idx="2">
                  <c:v>0.15682571373326701</c:v>
                </c:pt>
              </c:numCache>
            </c:numRef>
          </c:val>
          <c:extLst>
            <c:ext xmlns:c16="http://schemas.microsoft.com/office/drawing/2014/chart" uri="{C3380CC4-5D6E-409C-BE32-E72D297353CC}">
              <c16:uniqueId val="{00000001-3268-43A5-89E2-5F1AC3F2CB68}"/>
            </c:ext>
          </c:extLst>
        </c:ser>
        <c:ser>
          <c:idx val="2"/>
          <c:order val="2"/>
          <c:tx>
            <c:strRef>
              <c:f>καταπ_15_44!$F$33</c:f>
              <c:strCache>
                <c:ptCount val="1"/>
                <c:pt idx="0">
                  <c:v>Εκτός εργατικού δυναμικού</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3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καταπ_15_44!$C$34:$C$36</c:f>
              <c:strCache>
                <c:ptCount val="3"/>
                <c:pt idx="0">
                  <c:v>Με αναπηρία</c:v>
                </c:pt>
                <c:pt idx="1">
                  <c:v>Χωρίς αναπηρία</c:v>
                </c:pt>
                <c:pt idx="2">
                  <c:v>Συνολικός πληθυσμός</c:v>
                </c:pt>
              </c:strCache>
            </c:strRef>
          </c:cat>
          <c:val>
            <c:numRef>
              <c:f>καταπ_15_44!$F$34:$F$36</c:f>
              <c:numCache>
                <c:formatCode>###0.0%</c:formatCode>
                <c:ptCount val="3"/>
                <c:pt idx="0">
                  <c:v>0.84064591352680895</c:v>
                </c:pt>
                <c:pt idx="1">
                  <c:v>0.31499130622555199</c:v>
                </c:pt>
                <c:pt idx="2">
                  <c:v>0.32408472976038499</c:v>
                </c:pt>
              </c:numCache>
            </c:numRef>
          </c:val>
          <c:extLst>
            <c:ext xmlns:c16="http://schemas.microsoft.com/office/drawing/2014/chart" uri="{C3380CC4-5D6E-409C-BE32-E72D297353CC}">
              <c16:uniqueId val="{00000002-3268-43A5-89E2-5F1AC3F2CB68}"/>
            </c:ext>
          </c:extLst>
        </c:ser>
        <c:dLbls>
          <c:showLegendKey val="0"/>
          <c:showVal val="0"/>
          <c:showCatName val="0"/>
          <c:showSerName val="0"/>
          <c:showPercent val="0"/>
          <c:showBubbleSize val="0"/>
        </c:dLbls>
        <c:gapWidth val="219"/>
        <c:overlap val="-27"/>
        <c:axId val="1088600927"/>
        <c:axId val="1083948303"/>
      </c:barChart>
      <c:catAx>
        <c:axId val="108860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j-lt"/>
                <a:ea typeface="+mn-ea"/>
                <a:cs typeface="+mn-cs"/>
              </a:defRPr>
            </a:pPr>
            <a:endParaRPr lang="en-US"/>
          </a:p>
        </c:txPr>
        <c:crossAx val="1083948303"/>
        <c:crosses val="autoZero"/>
        <c:auto val="1"/>
        <c:lblAlgn val="ctr"/>
        <c:lblOffset val="100"/>
        <c:noMultiLvlLbl val="0"/>
      </c:catAx>
      <c:valAx>
        <c:axId val="1083948303"/>
        <c:scaling>
          <c:orientation val="minMax"/>
        </c:scaling>
        <c:delete val="1"/>
        <c:axPos val="l"/>
        <c:numFmt formatCode="###0.0%" sourceLinked="1"/>
        <c:majorTickMark val="none"/>
        <c:minorTickMark val="none"/>
        <c:tickLblPos val="nextTo"/>
        <c:crossAx val="1088600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lang="en-US" sz="1100">
          <a:latin typeface="+mj-lt"/>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Φύλλο20!$E$2</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3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Φύλλο20!$C$3:$C$5</c:f>
              <c:strCache>
                <c:ptCount val="3"/>
                <c:pt idx="0">
                  <c:v>Με αναπηρία</c:v>
                </c:pt>
                <c:pt idx="1">
                  <c:v>Χωρίς αναπηρία</c:v>
                </c:pt>
                <c:pt idx="2">
                  <c:v>Συνολικός πληθυσμός</c:v>
                </c:pt>
              </c:strCache>
            </c:strRef>
          </c:cat>
          <c:val>
            <c:numRef>
              <c:f>Φύλλο20!$E$3:$E$5</c:f>
              <c:numCache>
                <c:formatCode>0.0%</c:formatCode>
                <c:ptCount val="3"/>
                <c:pt idx="0">
                  <c:v>0.81852900381904203</c:v>
                </c:pt>
                <c:pt idx="1">
                  <c:v>0.28442686166414299</c:v>
                </c:pt>
                <c:pt idx="2">
                  <c:v>0.30839299218445598</c:v>
                </c:pt>
              </c:numCache>
            </c:numRef>
          </c:val>
          <c:extLst>
            <c:ext xmlns:c16="http://schemas.microsoft.com/office/drawing/2014/chart" uri="{C3380CC4-5D6E-409C-BE32-E72D297353CC}">
              <c16:uniqueId val="{00000000-2058-497B-BA5A-CA466FB14FC8}"/>
            </c:ext>
          </c:extLst>
        </c:ser>
        <c:dLbls>
          <c:showLegendKey val="0"/>
          <c:showVal val="0"/>
          <c:showCatName val="0"/>
          <c:showSerName val="0"/>
          <c:showPercent val="0"/>
          <c:showBubbleSize val="0"/>
        </c:dLbls>
        <c:gapWidth val="219"/>
        <c:overlap val="-27"/>
        <c:axId val="726913199"/>
        <c:axId val="540145183"/>
        <c:extLst>
          <c:ext xmlns:c15="http://schemas.microsoft.com/office/drawing/2012/chart" uri="{02D57815-91ED-43cb-92C2-25804820EDAC}">
            <c15:filteredBarSeries>
              <c15:ser>
                <c:idx val="0"/>
                <c:order val="0"/>
                <c:tx>
                  <c:strRef>
                    <c:extLst>
                      <c:ext uri="{02D57815-91ED-43cb-92C2-25804820EDAC}">
                        <c15:formulaRef>
                          <c15:sqref>Φύλλο20!$D$2</c15:sqref>
                        </c15:formulaRef>
                      </c:ext>
                    </c:extLst>
                    <c:strCache>
                      <c:ptCount val="1"/>
                    </c:strCache>
                  </c:strRef>
                </c:tx>
                <c:spPr>
                  <a:solidFill>
                    <a:schemeClr val="accent1"/>
                  </a:solidFill>
                  <a:ln>
                    <a:noFill/>
                  </a:ln>
                  <a:effectLst/>
                </c:spPr>
                <c:invertIfNegative val="0"/>
                <c:cat>
                  <c:strRef>
                    <c:extLst>
                      <c:ext uri="{02D57815-91ED-43cb-92C2-25804820EDAC}">
                        <c15:formulaRef>
                          <c15:sqref>Φύλλο20!$C$3:$C$5</c15:sqref>
                        </c15:formulaRef>
                      </c:ext>
                    </c:extLst>
                    <c:strCache>
                      <c:ptCount val="3"/>
                      <c:pt idx="0">
                        <c:v>Με αναπηρία</c:v>
                      </c:pt>
                      <c:pt idx="1">
                        <c:v>Χωρίς αναπηρία</c:v>
                      </c:pt>
                      <c:pt idx="2">
                        <c:v>Συνολικός πληθυσμός</c:v>
                      </c:pt>
                    </c:strCache>
                  </c:strRef>
                </c:cat>
                <c:val>
                  <c:numRef>
                    <c:extLst>
                      <c:ext uri="{02D57815-91ED-43cb-92C2-25804820EDAC}">
                        <c15:formulaRef>
                          <c15:sqref>Φύλλο20!$D$3:$D$5</c15:sqref>
                        </c15:formulaRef>
                      </c:ext>
                    </c:extLst>
                    <c:numCache>
                      <c:formatCode>General</c:formatCode>
                      <c:ptCount val="3"/>
                    </c:numCache>
                  </c:numRef>
                </c:val>
                <c:extLst>
                  <c:ext xmlns:c16="http://schemas.microsoft.com/office/drawing/2014/chart" uri="{C3380CC4-5D6E-409C-BE32-E72D297353CC}">
                    <c16:uniqueId val="{00000001-2058-497B-BA5A-CA466FB14FC8}"/>
                  </c:ext>
                </c:extLst>
              </c15:ser>
            </c15:filteredBarSeries>
          </c:ext>
        </c:extLst>
      </c:barChart>
      <c:catAx>
        <c:axId val="726913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crossAx val="540145183"/>
        <c:crosses val="autoZero"/>
        <c:auto val="1"/>
        <c:lblAlgn val="ctr"/>
        <c:lblOffset val="100"/>
        <c:noMultiLvlLbl val="0"/>
      </c:catAx>
      <c:valAx>
        <c:axId val="540145183"/>
        <c:scaling>
          <c:orientation val="minMax"/>
        </c:scaling>
        <c:delete val="1"/>
        <c:axPos val="l"/>
        <c:numFmt formatCode="0.0%" sourceLinked="1"/>
        <c:majorTickMark val="none"/>
        <c:minorTickMark val="none"/>
        <c:tickLblPos val="nextTo"/>
        <c:crossAx val="7269131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73-4662-8030-742436ADD4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73-4662-8030-742436ADD4D0}"/>
              </c:ext>
            </c:extLst>
          </c:dPt>
          <c:dLbls>
            <c:dLbl>
              <c:idx val="0"/>
              <c:layout>
                <c:manualLayout>
                  <c:x val="-0.19940752750194501"/>
                  <c:y val="5.457249087953944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73-4662-8030-742436ADD4D0}"/>
                </c:ext>
              </c:extLst>
            </c:dLbl>
            <c:dLbl>
              <c:idx val="1"/>
              <c:layout>
                <c:manualLayout>
                  <c:x val="0.20119241673011265"/>
                  <c:y val="-7.269255332997653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B73-4662-8030-742436ADD4D0}"/>
                </c:ext>
              </c:extLst>
            </c:dLbl>
            <c:spPr>
              <a:noFill/>
              <a:ln>
                <a:noFill/>
              </a:ln>
              <a:effectLst/>
            </c:spPr>
            <c:txPr>
              <a:bodyPr rot="0" spcFirstLastPara="1" vertOverflow="ellipsis" vert="horz" wrap="square" anchor="ctr" anchorCtr="1"/>
              <a:lstStyle/>
              <a:p>
                <a:pPr>
                  <a:defRPr sz="14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'γραφημα 2'!$B$3:$B$4</c:f>
              <c:strCache>
                <c:ptCount val="2"/>
                <c:pt idx="0">
                  <c:v>Άνδρες</c:v>
                </c:pt>
                <c:pt idx="1">
                  <c:v>Γυναίκες</c:v>
                </c:pt>
              </c:strCache>
            </c:strRef>
          </c:cat>
          <c:val>
            <c:numRef>
              <c:f>'γραφημα 2'!$D$3:$D$4</c:f>
              <c:numCache>
                <c:formatCode>###0.0</c:formatCode>
                <c:ptCount val="2"/>
                <c:pt idx="0">
                  <c:v>42.200538672834099</c:v>
                </c:pt>
                <c:pt idx="1">
                  <c:v>57.799461327166036</c:v>
                </c:pt>
              </c:numCache>
            </c:numRef>
          </c:val>
          <c:extLst>
            <c:ext xmlns:c16="http://schemas.microsoft.com/office/drawing/2014/chart" uri="{C3380CC4-5D6E-409C-BE32-E72D297353CC}">
              <c16:uniqueId val="{00000004-BB73-4662-8030-742436ADD4D0}"/>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6-BB73-4662-8030-742436ADD4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BB73-4662-8030-742436ADD4D0}"/>
                    </c:ext>
                  </c:extLst>
                </c:dPt>
                <c:cat>
                  <c:strRef>
                    <c:extLst>
                      <c:ext uri="{02D57815-91ED-43cb-92C2-25804820EDAC}">
                        <c15:formulaRef>
                          <c15:sqref>'γραφημα 2'!$B$3:$B$4</c15:sqref>
                        </c15:formulaRef>
                      </c:ext>
                    </c:extLst>
                    <c:strCache>
                      <c:ptCount val="2"/>
                      <c:pt idx="0">
                        <c:v>Άνδρες</c:v>
                      </c:pt>
                      <c:pt idx="1">
                        <c:v>Γυναίκες</c:v>
                      </c:pt>
                    </c:strCache>
                  </c:strRef>
                </c:cat>
                <c:val>
                  <c:numRef>
                    <c:extLst>
                      <c:ext uri="{02D57815-91ED-43cb-92C2-25804820EDAC}">
                        <c15:formulaRef>
                          <c15:sqref>'γραφημα 2'!$C$3:$C$4</c15:sqref>
                        </c15:formulaRef>
                      </c:ext>
                    </c:extLst>
                    <c:numCache>
                      <c:formatCode>###0</c:formatCode>
                      <c:ptCount val="2"/>
                      <c:pt idx="0">
                        <c:v>445103.97511343687</c:v>
                      </c:pt>
                      <c:pt idx="1">
                        <c:v>609631.31763761467</c:v>
                      </c:pt>
                    </c:numCache>
                  </c:numRef>
                </c:val>
                <c:extLst>
                  <c:ext xmlns:c16="http://schemas.microsoft.com/office/drawing/2014/chart" uri="{C3380CC4-5D6E-409C-BE32-E72D297353CC}">
                    <c16:uniqueId val="{00000009-BB73-4662-8030-742436ADD4D0}"/>
                  </c:ext>
                </c:extLst>
              </c15:ser>
            </c15:filteredPieSeries>
          </c:ext>
        </c:extLst>
      </c:pieChart>
      <c:spPr>
        <a:noFill/>
        <a:ln>
          <a:noFill/>
        </a:ln>
        <a:effectLst/>
      </c:spPr>
    </c:plotArea>
    <c:legend>
      <c:legendPos val="r"/>
      <c:layout>
        <c:manualLayout>
          <c:xMode val="edge"/>
          <c:yMode val="edge"/>
          <c:x val="0.70604522298082761"/>
          <c:y val="0.40883571194225721"/>
          <c:w val="0.17676169426942256"/>
          <c:h val="0.21357857611548556"/>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4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'δεικτης_εργατικό δυναμικό'!$D$2</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2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'δεικτης_εργατικό δυναμικό'!$C$3:$C$5</c:f>
              <c:strCache>
                <c:ptCount val="3"/>
                <c:pt idx="0">
                  <c:v>Με αναπηρία</c:v>
                </c:pt>
                <c:pt idx="1">
                  <c:v>Χωρίς αναπηρία</c:v>
                </c:pt>
                <c:pt idx="2">
                  <c:v>Σύνολο</c:v>
                </c:pt>
              </c:strCache>
            </c:strRef>
          </c:cat>
          <c:val>
            <c:numRef>
              <c:f>'δεικτης_εργατικό δυναμικό'!$D$3:$D$5</c:f>
              <c:numCache>
                <c:formatCode>0.0%</c:formatCode>
                <c:ptCount val="3"/>
                <c:pt idx="0">
                  <c:v>0.237761655305438</c:v>
                </c:pt>
                <c:pt idx="1">
                  <c:v>0.77673962513907402</c:v>
                </c:pt>
                <c:pt idx="2">
                  <c:v>0.75643147721842596</c:v>
                </c:pt>
              </c:numCache>
            </c:numRef>
          </c:val>
          <c:extLst>
            <c:ext xmlns:c16="http://schemas.microsoft.com/office/drawing/2014/chart" uri="{C3380CC4-5D6E-409C-BE32-E72D297353CC}">
              <c16:uniqueId val="{00000000-C47B-471F-B8ED-DC7F2E1063CD}"/>
            </c:ext>
          </c:extLst>
        </c:ser>
        <c:dLbls>
          <c:showLegendKey val="0"/>
          <c:showVal val="0"/>
          <c:showCatName val="0"/>
          <c:showSerName val="0"/>
          <c:showPercent val="0"/>
          <c:showBubbleSize val="0"/>
        </c:dLbls>
        <c:gapWidth val="219"/>
        <c:overlap val="-27"/>
        <c:axId val="1946149839"/>
        <c:axId val="1764994383"/>
      </c:barChart>
      <c:catAx>
        <c:axId val="194614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mj-lt"/>
                <a:ea typeface="+mn-ea"/>
                <a:cs typeface="+mn-cs"/>
              </a:defRPr>
            </a:pPr>
            <a:endParaRPr lang="en-US"/>
          </a:p>
        </c:txPr>
        <c:crossAx val="1764994383"/>
        <c:crosses val="autoZero"/>
        <c:auto val="1"/>
        <c:lblAlgn val="ctr"/>
        <c:lblOffset val="100"/>
        <c:noMultiLvlLbl val="0"/>
      </c:catAx>
      <c:valAx>
        <c:axId val="1764994383"/>
        <c:scaling>
          <c:orientation val="minMax"/>
        </c:scaling>
        <c:delete val="1"/>
        <c:axPos val="l"/>
        <c:numFmt formatCode="0.0%" sourceLinked="1"/>
        <c:majorTickMark val="none"/>
        <c:minorTickMark val="none"/>
        <c:tickLblPos val="nextTo"/>
        <c:crossAx val="194614983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sz="1200">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'γραφημα 4'!$D$13:$D$14</c:f>
              <c:strCache>
                <c:ptCount val="1"/>
                <c:pt idx="0">
                  <c:v>Δείκτης απασχόλησης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3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'γραφημα 4'!$C$15:$C$17</c:f>
              <c:strCache>
                <c:ptCount val="3"/>
                <c:pt idx="0">
                  <c:v>Με αναπηρία</c:v>
                </c:pt>
                <c:pt idx="1">
                  <c:v>Χωρίς αναπηρία</c:v>
                </c:pt>
                <c:pt idx="2">
                  <c:v>Συνολικός Πληθυσμός</c:v>
                </c:pt>
              </c:strCache>
            </c:strRef>
          </c:cat>
          <c:val>
            <c:numRef>
              <c:f>'γραφημα 4'!$D$15:$D$17</c:f>
              <c:numCache>
                <c:formatCode>###0.0%</c:formatCode>
                <c:ptCount val="3"/>
                <c:pt idx="0">
                  <c:v>0.183718738355654</c:v>
                </c:pt>
                <c:pt idx="1">
                  <c:v>0.68193137241776303</c:v>
                </c:pt>
                <c:pt idx="2">
                  <c:v>0.66315922135639105</c:v>
                </c:pt>
              </c:numCache>
            </c:numRef>
          </c:val>
          <c:extLst>
            <c:ext xmlns:c16="http://schemas.microsoft.com/office/drawing/2014/chart" uri="{C3380CC4-5D6E-409C-BE32-E72D297353CC}">
              <c16:uniqueId val="{00000000-D643-4F1E-A936-AEB9DFD7116D}"/>
            </c:ext>
          </c:extLst>
        </c:ser>
        <c:dLbls>
          <c:showLegendKey val="0"/>
          <c:showVal val="0"/>
          <c:showCatName val="0"/>
          <c:showSerName val="0"/>
          <c:showPercent val="0"/>
          <c:showBubbleSize val="0"/>
        </c:dLbls>
        <c:gapWidth val="219"/>
        <c:overlap val="-27"/>
        <c:axId val="1706291119"/>
        <c:axId val="1639356239"/>
      </c:barChart>
      <c:catAx>
        <c:axId val="170629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crossAx val="1639356239"/>
        <c:crosses val="autoZero"/>
        <c:auto val="1"/>
        <c:lblAlgn val="ctr"/>
        <c:lblOffset val="100"/>
        <c:noMultiLvlLbl val="0"/>
      </c:catAx>
      <c:valAx>
        <c:axId val="1639356239"/>
        <c:scaling>
          <c:orientation val="minMax"/>
        </c:scaling>
        <c:delete val="1"/>
        <c:axPos val="l"/>
        <c:numFmt formatCode="###0.0%" sourceLinked="1"/>
        <c:majorTickMark val="none"/>
        <c:minorTickMark val="none"/>
        <c:tickLblPos val="nextTo"/>
        <c:crossAx val="17062911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'δεικτης ανεργίας'!$D$13:$D$14</c:f>
              <c:strCache>
                <c:ptCount val="1"/>
                <c:pt idx="0">
                  <c:v>δείκτης ανεργίας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3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'δεικτης ανεργίας'!$C$15:$C$17</c:f>
              <c:strCache>
                <c:ptCount val="3"/>
                <c:pt idx="0">
                  <c:v>Με αναπηρία</c:v>
                </c:pt>
                <c:pt idx="1">
                  <c:v>Χωρίς αναπηρία</c:v>
                </c:pt>
                <c:pt idx="2">
                  <c:v>Συνολικός Πληθυσμός</c:v>
                </c:pt>
              </c:strCache>
            </c:strRef>
          </c:cat>
          <c:val>
            <c:numRef>
              <c:f>'δεικτης ανεργίας'!$D$15:$D$17</c:f>
              <c:numCache>
                <c:formatCode>0.0%</c:formatCode>
                <c:ptCount val="3"/>
                <c:pt idx="0">
                  <c:v>0.227298707524384</c:v>
                </c:pt>
                <c:pt idx="1">
                  <c:v>0.122059245663352</c:v>
                </c:pt>
                <c:pt idx="2">
                  <c:v>0.123305624727594</c:v>
                </c:pt>
              </c:numCache>
            </c:numRef>
          </c:val>
          <c:extLst>
            <c:ext xmlns:c16="http://schemas.microsoft.com/office/drawing/2014/chart" uri="{C3380CC4-5D6E-409C-BE32-E72D297353CC}">
              <c16:uniqueId val="{00000000-7736-49BB-83FE-EE72E8ECF85A}"/>
            </c:ext>
          </c:extLst>
        </c:ser>
        <c:dLbls>
          <c:showLegendKey val="0"/>
          <c:showVal val="0"/>
          <c:showCatName val="0"/>
          <c:showSerName val="0"/>
          <c:showPercent val="0"/>
          <c:showBubbleSize val="0"/>
        </c:dLbls>
        <c:gapWidth val="219"/>
        <c:overlap val="-27"/>
        <c:axId val="723164543"/>
        <c:axId val="974549471"/>
      </c:barChart>
      <c:catAx>
        <c:axId val="723164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j-lt"/>
                <a:ea typeface="+mn-ea"/>
                <a:cs typeface="+mn-cs"/>
              </a:defRPr>
            </a:pPr>
            <a:endParaRPr lang="en-US"/>
          </a:p>
        </c:txPr>
        <c:crossAx val="974549471"/>
        <c:crosses val="autoZero"/>
        <c:auto val="1"/>
        <c:lblAlgn val="ctr"/>
        <c:lblOffset val="100"/>
        <c:noMultiLvlLbl val="0"/>
      </c:catAx>
      <c:valAx>
        <c:axId val="974549471"/>
        <c:scaling>
          <c:orientation val="minMax"/>
        </c:scaling>
        <c:delete val="1"/>
        <c:axPos val="l"/>
        <c:numFmt formatCode="0.0%" sourceLinked="1"/>
        <c:majorTickMark val="none"/>
        <c:minorTickMark val="none"/>
        <c:tickLblPos val="nextTo"/>
        <c:crossAx val="7231645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100">
          <a:latin typeface="+mj-l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9022564088952"/>
          <c:y val="5.1486075356892112E-2"/>
          <c:w val="0.7370977435911048"/>
          <c:h val="0.78145690482815555"/>
        </c:manualLayout>
      </c:layout>
      <c:barChart>
        <c:barDir val="bar"/>
        <c:grouping val="stacked"/>
        <c:varyColors val="0"/>
        <c:ser>
          <c:idx val="0"/>
          <c:order val="0"/>
          <c:tx>
            <c:strRef>
              <c:f>'διάκρεια ανεργίας '!$C$3</c:f>
              <c:strCache>
                <c:ptCount val="1"/>
                <c:pt idx="0">
                  <c:v>Λιγότερο από 6 μήνες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200" b="1" i="0" u="none" strike="noStrike" kern="1200" baseline="0">
                    <a:solidFill>
                      <a:schemeClr val="bg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'διάκρεια ανεργίας '!$A$4:$B$6</c:f>
              <c:strCache>
                <c:ptCount val="3"/>
                <c:pt idx="0">
                  <c:v>Με αναπηρία</c:v>
                </c:pt>
                <c:pt idx="1">
                  <c:v>Χωρίς αναπηρία</c:v>
                </c:pt>
                <c:pt idx="2">
                  <c:v>Συνολικός πληθυσμός</c:v>
                </c:pt>
              </c:strCache>
            </c:strRef>
          </c:cat>
          <c:val>
            <c:numRef>
              <c:f>'διάκρεια ανεργίας '!$C$4:$C$6</c:f>
              <c:numCache>
                <c:formatCode>0.0%</c:formatCode>
                <c:ptCount val="3"/>
                <c:pt idx="0">
                  <c:v>0.27600000000000002</c:v>
                </c:pt>
                <c:pt idx="1">
                  <c:v>0.317</c:v>
                </c:pt>
                <c:pt idx="2">
                  <c:v>0.316</c:v>
                </c:pt>
              </c:numCache>
            </c:numRef>
          </c:val>
          <c:extLst>
            <c:ext xmlns:c16="http://schemas.microsoft.com/office/drawing/2014/chart" uri="{C3380CC4-5D6E-409C-BE32-E72D297353CC}">
              <c16:uniqueId val="{00000000-21D3-4EE5-AB20-E80A76270A10}"/>
            </c:ext>
          </c:extLst>
        </c:ser>
        <c:ser>
          <c:idx val="1"/>
          <c:order val="1"/>
          <c:tx>
            <c:strRef>
              <c:f>'διάκρεια ανεργίας '!$D$3</c:f>
              <c:strCache>
                <c:ptCount val="1"/>
                <c:pt idx="0">
                  <c:v>6-11 μήνες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200" b="1" i="0" u="none" strike="noStrike" kern="1200" baseline="0">
                    <a:solidFill>
                      <a:schemeClr val="bg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'διάκρεια ανεργίας '!$A$4:$B$6</c:f>
              <c:strCache>
                <c:ptCount val="3"/>
                <c:pt idx="0">
                  <c:v>Με αναπηρία</c:v>
                </c:pt>
                <c:pt idx="1">
                  <c:v>Χωρίς αναπηρία</c:v>
                </c:pt>
                <c:pt idx="2">
                  <c:v>Συνολικός πληθυσμός</c:v>
                </c:pt>
              </c:strCache>
            </c:strRef>
          </c:cat>
          <c:val>
            <c:numRef>
              <c:f>'διάκρεια ανεργίας '!$D$4:$D$6</c:f>
              <c:numCache>
                <c:formatCode>0.0%</c:formatCode>
                <c:ptCount val="3"/>
                <c:pt idx="0">
                  <c:v>7.6999999999999999E-2</c:v>
                </c:pt>
                <c:pt idx="1">
                  <c:v>0.13400000000000001</c:v>
                </c:pt>
                <c:pt idx="2">
                  <c:v>0.13200000000000001</c:v>
                </c:pt>
              </c:numCache>
            </c:numRef>
          </c:val>
          <c:extLst>
            <c:ext xmlns:c16="http://schemas.microsoft.com/office/drawing/2014/chart" uri="{C3380CC4-5D6E-409C-BE32-E72D297353CC}">
              <c16:uniqueId val="{00000001-21D3-4EE5-AB20-E80A76270A10}"/>
            </c:ext>
          </c:extLst>
        </c:ser>
        <c:ser>
          <c:idx val="2"/>
          <c:order val="2"/>
          <c:tx>
            <c:strRef>
              <c:f>'διάκρεια ανεργίας '!$E$3</c:f>
              <c:strCache>
                <c:ptCount val="1"/>
                <c:pt idx="0">
                  <c:v>12 μηνες και άνω</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200" b="1" i="0" u="none" strike="noStrike" kern="1200" baseline="0">
                    <a:solidFill>
                      <a:schemeClr val="bg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'διάκρεια ανεργίας '!$A$4:$B$6</c:f>
              <c:strCache>
                <c:ptCount val="3"/>
                <c:pt idx="0">
                  <c:v>Με αναπηρία</c:v>
                </c:pt>
                <c:pt idx="1">
                  <c:v>Χωρίς αναπηρία</c:v>
                </c:pt>
                <c:pt idx="2">
                  <c:v>Συνολικός πληθυσμός</c:v>
                </c:pt>
              </c:strCache>
            </c:strRef>
          </c:cat>
          <c:val>
            <c:numRef>
              <c:f>'διάκρεια ανεργίας '!$E$4:$E$6</c:f>
              <c:numCache>
                <c:formatCode>0.0%</c:formatCode>
                <c:ptCount val="3"/>
                <c:pt idx="0">
                  <c:v>0.64600000000000002</c:v>
                </c:pt>
                <c:pt idx="1">
                  <c:v>0.54900000000000004</c:v>
                </c:pt>
                <c:pt idx="2">
                  <c:v>0.55200000000000005</c:v>
                </c:pt>
              </c:numCache>
            </c:numRef>
          </c:val>
          <c:extLst>
            <c:ext xmlns:c16="http://schemas.microsoft.com/office/drawing/2014/chart" uri="{C3380CC4-5D6E-409C-BE32-E72D297353CC}">
              <c16:uniqueId val="{00000002-21D3-4EE5-AB20-E80A76270A10}"/>
            </c:ext>
          </c:extLst>
        </c:ser>
        <c:dLbls>
          <c:showLegendKey val="0"/>
          <c:showVal val="0"/>
          <c:showCatName val="0"/>
          <c:showSerName val="0"/>
          <c:showPercent val="0"/>
          <c:showBubbleSize val="0"/>
        </c:dLbls>
        <c:gapWidth val="150"/>
        <c:overlap val="100"/>
        <c:axId val="1917001567"/>
        <c:axId val="974547071"/>
      </c:barChart>
      <c:catAx>
        <c:axId val="1917001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50" b="0" i="0" u="none" strike="noStrike" kern="1200" baseline="0">
                <a:solidFill>
                  <a:schemeClr val="tx1">
                    <a:lumMod val="65000"/>
                    <a:lumOff val="35000"/>
                  </a:schemeClr>
                </a:solidFill>
                <a:latin typeface="+mj-lt"/>
                <a:ea typeface="+mn-ea"/>
                <a:cs typeface="+mn-cs"/>
              </a:defRPr>
            </a:pPr>
            <a:endParaRPr lang="en-US"/>
          </a:p>
        </c:txPr>
        <c:crossAx val="974547071"/>
        <c:crosses val="autoZero"/>
        <c:auto val="1"/>
        <c:lblAlgn val="ctr"/>
        <c:lblOffset val="100"/>
        <c:noMultiLvlLbl val="0"/>
      </c:catAx>
      <c:valAx>
        <c:axId val="974547071"/>
        <c:scaling>
          <c:orientation val="minMax"/>
        </c:scaling>
        <c:delete val="1"/>
        <c:axPos val="b"/>
        <c:numFmt formatCode="0.0%" sourceLinked="1"/>
        <c:majorTickMark val="none"/>
        <c:minorTickMark val="none"/>
        <c:tickLblPos val="nextTo"/>
        <c:crossAx val="1917001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5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lang="en-US" sz="1050">
          <a:latin typeface="+mj-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edu_katap_20_64!$D$10</c:f>
              <c:strCache>
                <c:ptCount val="1"/>
                <c:pt idx="0">
                  <c:v>Εως πρωτοβάθμια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edu_katap_20_64!$C$11:$C$14</c:f>
              <c:strCache>
                <c:ptCount val="4"/>
                <c:pt idx="0">
                  <c:v>Απασχολούμενοι</c:v>
                </c:pt>
                <c:pt idx="1">
                  <c:v>Άνεργοι</c:v>
                </c:pt>
                <c:pt idx="2">
                  <c:v>Εκτός εργατικού Δύναμικού</c:v>
                </c:pt>
                <c:pt idx="3">
                  <c:v>Σύνολο</c:v>
                </c:pt>
              </c:strCache>
            </c:strRef>
          </c:cat>
          <c:val>
            <c:numRef>
              <c:f>edu_katap_20_64!$D$11:$D$14</c:f>
              <c:numCache>
                <c:formatCode>0.0%</c:formatCode>
                <c:ptCount val="4"/>
                <c:pt idx="0">
                  <c:v>0.30205922355579901</c:v>
                </c:pt>
                <c:pt idx="1">
                  <c:v>0.150458269121583</c:v>
                </c:pt>
                <c:pt idx="2">
                  <c:v>0.35748833945835301</c:v>
                </c:pt>
                <c:pt idx="3">
                  <c:v>0.33611555575038898</c:v>
                </c:pt>
              </c:numCache>
            </c:numRef>
          </c:val>
          <c:extLst>
            <c:ext xmlns:c16="http://schemas.microsoft.com/office/drawing/2014/chart" uri="{C3380CC4-5D6E-409C-BE32-E72D297353CC}">
              <c16:uniqueId val="{00000000-72C4-4C6E-84D8-7F651847A95A}"/>
            </c:ext>
          </c:extLst>
        </c:ser>
        <c:ser>
          <c:idx val="1"/>
          <c:order val="1"/>
          <c:tx>
            <c:strRef>
              <c:f>edu_katap_20_64!$E$10</c:f>
              <c:strCache>
                <c:ptCount val="1"/>
                <c:pt idx="0">
                  <c:v>Κατώτερη δευτεροβάθμια</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edu_katap_20_64!$C$11:$C$14</c:f>
              <c:strCache>
                <c:ptCount val="4"/>
                <c:pt idx="0">
                  <c:v>Απασχολούμενοι</c:v>
                </c:pt>
                <c:pt idx="1">
                  <c:v>Άνεργοι</c:v>
                </c:pt>
                <c:pt idx="2">
                  <c:v>Εκτός εργατικού Δύναμικού</c:v>
                </c:pt>
                <c:pt idx="3">
                  <c:v>Σύνολο</c:v>
                </c:pt>
              </c:strCache>
            </c:strRef>
          </c:cat>
          <c:val>
            <c:numRef>
              <c:f>edu_katap_20_64!$E$11:$E$14</c:f>
              <c:numCache>
                <c:formatCode>0.0%</c:formatCode>
                <c:ptCount val="4"/>
                <c:pt idx="0">
                  <c:v>0.14149705313894401</c:v>
                </c:pt>
                <c:pt idx="1">
                  <c:v>0.24267986049152401</c:v>
                </c:pt>
                <c:pt idx="2">
                  <c:v>0.14082943690079799</c:v>
                </c:pt>
                <c:pt idx="3">
                  <c:v>0.14645683098437201</c:v>
                </c:pt>
              </c:numCache>
            </c:numRef>
          </c:val>
          <c:extLst>
            <c:ext xmlns:c16="http://schemas.microsoft.com/office/drawing/2014/chart" uri="{C3380CC4-5D6E-409C-BE32-E72D297353CC}">
              <c16:uniqueId val="{00000001-72C4-4C6E-84D8-7F651847A95A}"/>
            </c:ext>
          </c:extLst>
        </c:ser>
        <c:ser>
          <c:idx val="2"/>
          <c:order val="2"/>
          <c:tx>
            <c:strRef>
              <c:f>edu_katap_20_64!$F$10</c:f>
              <c:strCache>
                <c:ptCount val="1"/>
                <c:pt idx="0">
                  <c:v>Ανώτερη δευτεροβάθμια</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edu_katap_20_64!$C$11:$C$14</c:f>
              <c:strCache>
                <c:ptCount val="4"/>
                <c:pt idx="0">
                  <c:v>Απασχολούμενοι</c:v>
                </c:pt>
                <c:pt idx="1">
                  <c:v>Άνεργοι</c:v>
                </c:pt>
                <c:pt idx="2">
                  <c:v>Εκτός εργατικού Δύναμικού</c:v>
                </c:pt>
                <c:pt idx="3">
                  <c:v>Σύνολο</c:v>
                </c:pt>
              </c:strCache>
            </c:strRef>
          </c:cat>
          <c:val>
            <c:numRef>
              <c:f>edu_katap_20_64!$F$11:$F$14</c:f>
              <c:numCache>
                <c:formatCode>0.0%</c:formatCode>
                <c:ptCount val="4"/>
                <c:pt idx="0">
                  <c:v>0.32456035696389801</c:v>
                </c:pt>
                <c:pt idx="1">
                  <c:v>0.3964636223538</c:v>
                </c:pt>
                <c:pt idx="2">
                  <c:v>0.33599038400708497</c:v>
                </c:pt>
                <c:pt idx="3">
                  <c:v>0.33715888915678499</c:v>
                </c:pt>
              </c:numCache>
            </c:numRef>
          </c:val>
          <c:extLst>
            <c:ext xmlns:c16="http://schemas.microsoft.com/office/drawing/2014/chart" uri="{C3380CC4-5D6E-409C-BE32-E72D297353CC}">
              <c16:uniqueId val="{00000002-72C4-4C6E-84D8-7F651847A95A}"/>
            </c:ext>
          </c:extLst>
        </c:ser>
        <c:ser>
          <c:idx val="3"/>
          <c:order val="3"/>
          <c:tx>
            <c:strRef>
              <c:f>edu_katap_20_64!$G$10</c:f>
              <c:strCache>
                <c:ptCount val="1"/>
                <c:pt idx="0">
                  <c:v>Μεταδευτεροβάθμια μη-τριτοβάθμια εκπαίδευση</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edu_katap_20_64!$C$11:$C$14</c:f>
              <c:strCache>
                <c:ptCount val="4"/>
                <c:pt idx="0">
                  <c:v>Απασχολούμενοι</c:v>
                </c:pt>
                <c:pt idx="1">
                  <c:v>Άνεργοι</c:v>
                </c:pt>
                <c:pt idx="2">
                  <c:v>Εκτός εργατικού Δύναμικού</c:v>
                </c:pt>
                <c:pt idx="3">
                  <c:v>Σύνολο</c:v>
                </c:pt>
              </c:strCache>
            </c:strRef>
          </c:cat>
          <c:val>
            <c:numRef>
              <c:f>edu_katap_20_64!$G$11:$G$14</c:f>
              <c:numCache>
                <c:formatCode>0.0%</c:formatCode>
                <c:ptCount val="4"/>
                <c:pt idx="0">
                  <c:v>6.3614020854709005E-2</c:v>
                </c:pt>
                <c:pt idx="1">
                  <c:v>3.3092708248844201E-2</c:v>
                </c:pt>
                <c:pt idx="2">
                  <c:v>5.3359558768554798E-2</c:v>
                </c:pt>
                <c:pt idx="3">
                  <c:v>5.41481270411854E-2</c:v>
                </c:pt>
              </c:numCache>
            </c:numRef>
          </c:val>
          <c:extLst>
            <c:ext xmlns:c16="http://schemas.microsoft.com/office/drawing/2014/chart" uri="{C3380CC4-5D6E-409C-BE32-E72D297353CC}">
              <c16:uniqueId val="{00000003-72C4-4C6E-84D8-7F651847A95A}"/>
            </c:ext>
          </c:extLst>
        </c:ser>
        <c:ser>
          <c:idx val="4"/>
          <c:order val="4"/>
          <c:tx>
            <c:strRef>
              <c:f>edu_katap_20_64!$H$10</c:f>
              <c:strCache>
                <c:ptCount val="1"/>
                <c:pt idx="0">
                  <c:v> Τριτοβάθμια-Προγράμματα σύντομου κύκλου</c:v>
                </c:pt>
              </c:strCache>
            </c:strRef>
          </c:tx>
          <c:spPr>
            <a:solidFill>
              <a:schemeClr val="accent5"/>
            </a:solidFill>
            <a:ln>
              <a:noFill/>
            </a:ln>
            <a:effectLst/>
          </c:spPr>
          <c:invertIfNegative val="0"/>
          <c:cat>
            <c:strRef>
              <c:f>edu_katap_20_64!$C$11:$C$14</c:f>
              <c:strCache>
                <c:ptCount val="4"/>
                <c:pt idx="0">
                  <c:v>Απασχολούμενοι</c:v>
                </c:pt>
                <c:pt idx="1">
                  <c:v>Άνεργοι</c:v>
                </c:pt>
                <c:pt idx="2">
                  <c:v>Εκτός εργατικού Δύναμικού</c:v>
                </c:pt>
                <c:pt idx="3">
                  <c:v>Σύνολο</c:v>
                </c:pt>
              </c:strCache>
            </c:strRef>
          </c:cat>
          <c:val>
            <c:numRef>
              <c:f>edu_katap_20_64!$H$11:$H$14</c:f>
              <c:numCache>
                <c:formatCode>0.0%</c:formatCode>
                <c:ptCount val="4"/>
                <c:pt idx="0">
                  <c:v>0</c:v>
                </c:pt>
                <c:pt idx="1">
                  <c:v>0</c:v>
                </c:pt>
                <c:pt idx="2">
                  <c:v>1.21177614060514E-2</c:v>
                </c:pt>
                <c:pt idx="3">
                  <c:v>9.2365692742695602E-3</c:v>
                </c:pt>
              </c:numCache>
            </c:numRef>
          </c:val>
          <c:extLst>
            <c:ext xmlns:c16="http://schemas.microsoft.com/office/drawing/2014/chart" uri="{C3380CC4-5D6E-409C-BE32-E72D297353CC}">
              <c16:uniqueId val="{00000004-72C4-4C6E-84D8-7F651847A95A}"/>
            </c:ext>
          </c:extLst>
        </c:ser>
        <c:ser>
          <c:idx val="5"/>
          <c:order val="5"/>
          <c:tx>
            <c:strRef>
              <c:f>edu_katap_20_64!$I$10</c:f>
              <c:strCache>
                <c:ptCount val="1"/>
                <c:pt idx="0">
                  <c:v>Πτυχίο τριτοβάθμιας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edu_katap_20_64!$C$11:$C$14</c:f>
              <c:strCache>
                <c:ptCount val="4"/>
                <c:pt idx="0">
                  <c:v>Απασχολούμενοι</c:v>
                </c:pt>
                <c:pt idx="1">
                  <c:v>Άνεργοι</c:v>
                </c:pt>
                <c:pt idx="2">
                  <c:v>Εκτός εργατικού Δύναμικού</c:v>
                </c:pt>
                <c:pt idx="3">
                  <c:v>Σύνολο</c:v>
                </c:pt>
              </c:strCache>
            </c:strRef>
          </c:cat>
          <c:val>
            <c:numRef>
              <c:f>edu_katap_20_64!$I$11:$I$14</c:f>
              <c:numCache>
                <c:formatCode>0.0%</c:formatCode>
                <c:ptCount val="4"/>
                <c:pt idx="0">
                  <c:v>0.146102269202319</c:v>
                </c:pt>
                <c:pt idx="1">
                  <c:v>8.9220536945413306E-2</c:v>
                </c:pt>
                <c:pt idx="2">
                  <c:v>8.5710013400277202E-2</c:v>
                </c:pt>
                <c:pt idx="3">
                  <c:v>9.6994936764351294E-2</c:v>
                </c:pt>
              </c:numCache>
            </c:numRef>
          </c:val>
          <c:extLst>
            <c:ext xmlns:c16="http://schemas.microsoft.com/office/drawing/2014/chart" uri="{C3380CC4-5D6E-409C-BE32-E72D297353CC}">
              <c16:uniqueId val="{00000005-72C4-4C6E-84D8-7F651847A95A}"/>
            </c:ext>
          </c:extLst>
        </c:ser>
        <c:ser>
          <c:idx val="6"/>
          <c:order val="6"/>
          <c:tx>
            <c:strRef>
              <c:f>edu_katap_20_64!$J$10</c:f>
              <c:strCache>
                <c:ptCount val="1"/>
                <c:pt idx="0">
                  <c:v>Μεταπτυχιακός τίτλος</c:v>
                </c:pt>
              </c:strCache>
            </c:strRef>
          </c:tx>
          <c:spPr>
            <a:solidFill>
              <a:schemeClr val="accent1">
                <a:lumMod val="60000"/>
              </a:schemeClr>
            </a:solidFill>
            <a:ln>
              <a:noFill/>
            </a:ln>
            <a:effectLst/>
          </c:spPr>
          <c:invertIfNegative val="0"/>
          <c:cat>
            <c:strRef>
              <c:f>edu_katap_20_64!$C$11:$C$14</c:f>
              <c:strCache>
                <c:ptCount val="4"/>
                <c:pt idx="0">
                  <c:v>Απασχολούμενοι</c:v>
                </c:pt>
                <c:pt idx="1">
                  <c:v>Άνεργοι</c:v>
                </c:pt>
                <c:pt idx="2">
                  <c:v>Εκτός εργατικού Δύναμικού</c:v>
                </c:pt>
                <c:pt idx="3">
                  <c:v>Σύνολο</c:v>
                </c:pt>
              </c:strCache>
            </c:strRef>
          </c:cat>
          <c:val>
            <c:numRef>
              <c:f>edu_katap_20_64!$J$11:$J$14</c:f>
              <c:numCache>
                <c:formatCode>0.0%</c:formatCode>
                <c:ptCount val="4"/>
                <c:pt idx="0">
                  <c:v>1.3982676752010301E-2</c:v>
                </c:pt>
                <c:pt idx="1">
                  <c:v>5.6371157433692899E-2</c:v>
                </c:pt>
                <c:pt idx="2">
                  <c:v>1.4504506058880699E-2</c:v>
                </c:pt>
                <c:pt idx="3">
                  <c:v>1.6671415733292401E-2</c:v>
                </c:pt>
              </c:numCache>
            </c:numRef>
          </c:val>
          <c:extLst>
            <c:ext xmlns:c16="http://schemas.microsoft.com/office/drawing/2014/chart" uri="{C3380CC4-5D6E-409C-BE32-E72D297353CC}">
              <c16:uniqueId val="{00000006-72C4-4C6E-84D8-7F651847A95A}"/>
            </c:ext>
          </c:extLst>
        </c:ser>
        <c:ser>
          <c:idx val="7"/>
          <c:order val="7"/>
          <c:tx>
            <c:strRef>
              <c:f>edu_katap_20_64!$K$10</c:f>
              <c:strCache>
                <c:ptCount val="1"/>
                <c:pt idx="0">
                  <c:v>Διδακτορικό</c:v>
                </c:pt>
              </c:strCache>
            </c:strRef>
          </c:tx>
          <c:spPr>
            <a:solidFill>
              <a:schemeClr val="accent2">
                <a:lumMod val="60000"/>
              </a:schemeClr>
            </a:solidFill>
            <a:ln>
              <a:noFill/>
            </a:ln>
            <a:effectLst/>
          </c:spPr>
          <c:invertIfNegative val="0"/>
          <c:cat>
            <c:strRef>
              <c:f>edu_katap_20_64!$C$11:$C$14</c:f>
              <c:strCache>
                <c:ptCount val="4"/>
                <c:pt idx="0">
                  <c:v>Απασχολούμενοι</c:v>
                </c:pt>
                <c:pt idx="1">
                  <c:v>Άνεργοι</c:v>
                </c:pt>
                <c:pt idx="2">
                  <c:v>Εκτός εργατικού Δύναμικού</c:v>
                </c:pt>
                <c:pt idx="3">
                  <c:v>Σύνολο</c:v>
                </c:pt>
              </c:strCache>
            </c:strRef>
          </c:cat>
          <c:val>
            <c:numRef>
              <c:f>edu_katap_20_64!$K$11:$K$14</c:f>
              <c:numCache>
                <c:formatCode>0.0%</c:formatCode>
                <c:ptCount val="4"/>
                <c:pt idx="0">
                  <c:v>8.1843995323200303E-3</c:v>
                </c:pt>
                <c:pt idx="1">
                  <c:v>3.1713845405142299E-2</c:v>
                </c:pt>
                <c:pt idx="2">
                  <c:v>0</c:v>
                </c:pt>
                <c:pt idx="3">
                  <c:v>3.21767529535541E-3</c:v>
                </c:pt>
              </c:numCache>
            </c:numRef>
          </c:val>
          <c:extLst>
            <c:ext xmlns:c16="http://schemas.microsoft.com/office/drawing/2014/chart" uri="{C3380CC4-5D6E-409C-BE32-E72D297353CC}">
              <c16:uniqueId val="{00000007-72C4-4C6E-84D8-7F651847A95A}"/>
            </c:ext>
          </c:extLst>
        </c:ser>
        <c:dLbls>
          <c:showLegendKey val="0"/>
          <c:showVal val="0"/>
          <c:showCatName val="0"/>
          <c:showSerName val="0"/>
          <c:showPercent val="0"/>
          <c:showBubbleSize val="0"/>
        </c:dLbls>
        <c:gapWidth val="150"/>
        <c:overlap val="100"/>
        <c:axId val="983507183"/>
        <c:axId val="974553311"/>
      </c:barChart>
      <c:catAx>
        <c:axId val="983507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4553311"/>
        <c:crosses val="autoZero"/>
        <c:auto val="1"/>
        <c:lblAlgn val="ctr"/>
        <c:lblOffset val="100"/>
        <c:noMultiLvlLbl val="0"/>
      </c:catAx>
      <c:valAx>
        <c:axId val="974553311"/>
        <c:scaling>
          <c:orientation val="minMax"/>
        </c:scaling>
        <c:delete val="1"/>
        <c:axPos val="b"/>
        <c:numFmt formatCode="0%" sourceLinked="1"/>
        <c:majorTickMark val="none"/>
        <c:minorTickMark val="none"/>
        <c:tickLblPos val="nextTo"/>
        <c:crossAx val="983507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'15-44'!$F$15</c:f>
              <c:strCache>
                <c:ptCount val="1"/>
                <c:pt idx="0">
                  <c:v>Άνδρες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3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'15-44'!$E$16:$E$17</c:f>
              <c:strCache>
                <c:ptCount val="2"/>
                <c:pt idx="0">
                  <c:v>Με αναπηρία</c:v>
                </c:pt>
                <c:pt idx="1">
                  <c:v>Χωρίς αναπηρία</c:v>
                </c:pt>
              </c:strCache>
            </c:strRef>
          </c:cat>
          <c:val>
            <c:numRef>
              <c:f>'15-44'!$F$16:$F$17</c:f>
              <c:numCache>
                <c:formatCode>###0.0%</c:formatCode>
                <c:ptCount val="2"/>
                <c:pt idx="0">
                  <c:v>0.63920522608570696</c:v>
                </c:pt>
                <c:pt idx="1">
                  <c:v>0.508322115138647</c:v>
                </c:pt>
              </c:numCache>
            </c:numRef>
          </c:val>
          <c:extLst>
            <c:ext xmlns:c16="http://schemas.microsoft.com/office/drawing/2014/chart" uri="{C3380CC4-5D6E-409C-BE32-E72D297353CC}">
              <c16:uniqueId val="{00000000-8400-4316-9C34-63998D263E3D}"/>
            </c:ext>
          </c:extLst>
        </c:ser>
        <c:ser>
          <c:idx val="1"/>
          <c:order val="1"/>
          <c:tx>
            <c:strRef>
              <c:f>'15-44'!$G$15</c:f>
              <c:strCache>
                <c:ptCount val="1"/>
                <c:pt idx="0">
                  <c:v>Γυναίκες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3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'15-44'!$E$16:$E$17</c:f>
              <c:strCache>
                <c:ptCount val="2"/>
                <c:pt idx="0">
                  <c:v>Με αναπηρία</c:v>
                </c:pt>
                <c:pt idx="1">
                  <c:v>Χωρίς αναπηρία</c:v>
                </c:pt>
              </c:strCache>
            </c:strRef>
          </c:cat>
          <c:val>
            <c:numRef>
              <c:f>'15-44'!$G$16:$G$17</c:f>
              <c:numCache>
                <c:formatCode>###0.0%</c:formatCode>
                <c:ptCount val="2"/>
                <c:pt idx="0">
                  <c:v>0.36079477391429299</c:v>
                </c:pt>
                <c:pt idx="1">
                  <c:v>0.491677884861353</c:v>
                </c:pt>
              </c:numCache>
            </c:numRef>
          </c:val>
          <c:extLst>
            <c:ext xmlns:c16="http://schemas.microsoft.com/office/drawing/2014/chart" uri="{C3380CC4-5D6E-409C-BE32-E72D297353CC}">
              <c16:uniqueId val="{00000001-8400-4316-9C34-63998D263E3D}"/>
            </c:ext>
          </c:extLst>
        </c:ser>
        <c:dLbls>
          <c:showLegendKey val="0"/>
          <c:showVal val="0"/>
          <c:showCatName val="0"/>
          <c:showSerName val="0"/>
          <c:showPercent val="0"/>
          <c:showBubbleSize val="0"/>
        </c:dLbls>
        <c:gapWidth val="219"/>
        <c:overlap val="-27"/>
        <c:axId val="1144559199"/>
        <c:axId val="1277589711"/>
      </c:barChart>
      <c:catAx>
        <c:axId val="114455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crossAx val="1277589711"/>
        <c:crosses val="autoZero"/>
        <c:auto val="1"/>
        <c:lblAlgn val="ctr"/>
        <c:lblOffset val="100"/>
        <c:noMultiLvlLbl val="0"/>
      </c:catAx>
      <c:valAx>
        <c:axId val="1277589711"/>
        <c:scaling>
          <c:orientation val="minMax"/>
        </c:scaling>
        <c:delete val="1"/>
        <c:axPos val="l"/>
        <c:numFmt formatCode="###0.0%" sourceLinked="1"/>
        <c:majorTickMark val="none"/>
        <c:minorTickMark val="none"/>
        <c:tickLblPos val="nextTo"/>
        <c:crossAx val="1144559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lang="en-US"/>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4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2.7414330218068536E-2"/>
          <c:y val="4.2667094492954374E-2"/>
          <c:w val="0.9451713395638629"/>
          <c:h val="0.73980897132663748"/>
        </c:manualLayout>
      </c:layout>
      <c:barChart>
        <c:barDir val="col"/>
        <c:grouping val="clustered"/>
        <c:varyColors val="0"/>
        <c:ser>
          <c:idx val="0"/>
          <c:order val="0"/>
          <c:tx>
            <c:strRef>
              <c:f>'Γράφημα 9'!$D$4</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3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'Γράφημα 9'!$C$5:$C$7</c:f>
              <c:strCache>
                <c:ptCount val="3"/>
                <c:pt idx="0">
                  <c:v>Με αναπηρία</c:v>
                </c:pt>
                <c:pt idx="1">
                  <c:v>Χωρίς αναπηρία</c:v>
                </c:pt>
                <c:pt idx="2">
                  <c:v>Συνολικός πληθυσμός</c:v>
                </c:pt>
              </c:strCache>
            </c:strRef>
          </c:cat>
          <c:val>
            <c:numRef>
              <c:f>'Γράφημα 9'!$D$5:$D$7</c:f>
              <c:numCache>
                <c:formatCode>0.0%</c:formatCode>
                <c:ptCount val="3"/>
                <c:pt idx="0">
                  <c:v>0.15935408647319099</c:v>
                </c:pt>
                <c:pt idx="1">
                  <c:v>0.68500869377444795</c:v>
                </c:pt>
                <c:pt idx="2">
                  <c:v>0.67591527023961495</c:v>
                </c:pt>
              </c:numCache>
            </c:numRef>
          </c:val>
          <c:extLst>
            <c:ext xmlns:c16="http://schemas.microsoft.com/office/drawing/2014/chart" uri="{C3380CC4-5D6E-409C-BE32-E72D297353CC}">
              <c16:uniqueId val="{00000000-583D-4E79-A8B1-67B543B49577}"/>
            </c:ext>
          </c:extLst>
        </c:ser>
        <c:dLbls>
          <c:showLegendKey val="0"/>
          <c:showVal val="0"/>
          <c:showCatName val="0"/>
          <c:showSerName val="0"/>
          <c:showPercent val="0"/>
          <c:showBubbleSize val="0"/>
        </c:dLbls>
        <c:gapWidth val="219"/>
        <c:overlap val="-27"/>
        <c:axId val="1903742719"/>
        <c:axId val="1083955503"/>
      </c:barChart>
      <c:catAx>
        <c:axId val="190374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j-lt"/>
                <a:ea typeface="+mn-ea"/>
                <a:cs typeface="+mn-cs"/>
              </a:defRPr>
            </a:pPr>
            <a:endParaRPr lang="en-US"/>
          </a:p>
        </c:txPr>
        <c:crossAx val="1083955503"/>
        <c:crosses val="autoZero"/>
        <c:auto val="1"/>
        <c:lblAlgn val="ctr"/>
        <c:lblOffset val="100"/>
        <c:noMultiLvlLbl val="0"/>
      </c:catAx>
      <c:valAx>
        <c:axId val="1083955503"/>
        <c:scaling>
          <c:orientation val="minMax"/>
        </c:scaling>
        <c:delete val="1"/>
        <c:axPos val="l"/>
        <c:numFmt formatCode="0.0%" sourceLinked="1"/>
        <c:majorTickMark val="none"/>
        <c:minorTickMark val="none"/>
        <c:tickLblPos val="nextTo"/>
        <c:crossAx val="19037427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sz="1200">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F401AB8-37CD-4F41-BED8-0D83F3BDF82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24</Pages>
  <Words>5438</Words>
  <Characters>30999</Characters>
  <Application>Microsoft Office Word</Application>
  <DocSecurity>0</DocSecurity>
  <Lines>258</Lines>
  <Paragraphs>72</Paragraphs>
  <ScaleCrop>false</ScaleCrop>
  <HeadingPairs>
    <vt:vector size="2" baseType="variant">
      <vt:variant>
        <vt:lpstr>Τίτλος</vt:lpstr>
      </vt:variant>
      <vt:variant>
        <vt:i4>1</vt:i4>
      </vt:variant>
    </vt:vector>
  </HeadingPairs>
  <TitlesOfParts>
    <vt:vector size="1" baseType="lpstr">
      <vt:lpstr>13ο ΔΕΛΤΙΟ ΣΤΑΤΙΣΤΙΚΗΣ ΠΛΗΡΟΦΟΡΗΣΗΣ</vt:lpstr>
    </vt:vector>
  </TitlesOfParts>
  <Company>Εθνική Συνομοσπονδία Ατόμων με Αναπηρία (Ε.Σ.Α.μεΑ.)</Company>
  <LinksUpToDate>false</LinksUpToDate>
  <CharactersWithSpaces>36365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13ο ΔΕΛΤΙΟ ΣΤΑΤΙΣΤΙΚΗΣ ΠΛΗΡΟΦΟΡΗΣΗΣ</dc:title>
  <dc:subject>ΦΤΩΧΕΙΑ ΚΑΙ ΚΟΙΝΩΝΙΚΟΣ ΑΠΟΚΛΕΙΣΜΟΣ ΣΤΑ ΑΤΟΜΑ ΜΕ ΑΝΑΠΗΡΙΑ</dc:subject>
  <dc:creator>Παρατηρητήριο Θεμάτων Αναπηρίας</dc:creator>
  <dc:description>Το παρόν αρχείο ελέγχθηκε με το εργαλείο Microsoft Accessibility Checker και δε βρέθηκαν θέματα προσβασιμότητας. Τα άτομα με αναπηρία δε θα αντιμετωπίζουν δυσκολίες στην ανάγνωσή του.</dc:description>
  <cp:lastModifiedBy>AM</cp:lastModifiedBy>
  <cp:revision>4</cp:revision>
  <cp:lastPrinted>2023-09-24T08:26:00Z</cp:lastPrinted>
  <dcterms:created xsi:type="dcterms:W3CDTF">2023-09-24T07:23:00Z</dcterms:created>
  <dcterms:modified xsi:type="dcterms:W3CDTF">2023-09-24T08:27:00Z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E3D8205FEF524064A2C2BB78ABBD4E8C_13</vt:lpwstr>
  </property>
</Properties>
</file>